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rPr>
      </w:pPr>
    </w:p>
    <w:p>
      <w:pPr>
        <w:jc w:val="center"/>
        <w:rPr>
          <w:b/>
          <w:bCs/>
          <w:sz w:val="44"/>
        </w:rPr>
      </w:pPr>
    </w:p>
    <w:p>
      <w:pPr>
        <w:jc w:val="center"/>
        <w:rPr>
          <w:b/>
          <w:bCs/>
          <w:sz w:val="44"/>
        </w:rPr>
      </w:pPr>
    </w:p>
    <w:p>
      <w:pPr>
        <w:jc w:val="center"/>
        <w:outlineLvl w:val="0"/>
        <w:rPr>
          <w:rFonts w:ascii="黑体" w:hAnsi="黑体" w:eastAsia="黑体"/>
          <w:b/>
          <w:bCs/>
          <w:sz w:val="60"/>
          <w:szCs w:val="60"/>
        </w:rPr>
      </w:pPr>
      <w:bookmarkStart w:id="0" w:name="_Toc25775"/>
      <w:bookmarkStart w:id="1" w:name="_Toc23336"/>
      <w:r>
        <w:rPr>
          <w:rFonts w:hint="eastAsia" w:ascii="黑体" w:hAnsi="黑体" w:eastAsia="黑体"/>
          <w:b/>
          <w:bCs/>
          <w:sz w:val="60"/>
          <w:szCs w:val="60"/>
        </w:rPr>
        <w:t>江苏苏新轴座有限公司</w:t>
      </w:r>
      <w:bookmarkEnd w:id="0"/>
      <w:bookmarkEnd w:id="1"/>
    </w:p>
    <w:p>
      <w:pPr>
        <w:jc w:val="center"/>
        <w:outlineLvl w:val="0"/>
        <w:rPr>
          <w:rFonts w:ascii="黑体" w:hAnsi="黑体" w:eastAsia="黑体"/>
          <w:b/>
          <w:bCs/>
          <w:sz w:val="72"/>
          <w:szCs w:val="72"/>
        </w:rPr>
      </w:pPr>
      <w:bookmarkStart w:id="2" w:name="_Toc27753"/>
      <w:bookmarkStart w:id="3" w:name="_Toc14625"/>
      <w:r>
        <w:rPr>
          <w:rFonts w:ascii="黑体" w:hAnsi="黑体" w:eastAsia="黑体"/>
          <w:b/>
          <w:bCs/>
          <w:sz w:val="72"/>
          <w:szCs w:val="72"/>
        </w:rPr>
        <w:t>社会责任报告</w:t>
      </w:r>
      <w:bookmarkEnd w:id="2"/>
      <w:bookmarkEnd w:id="3"/>
    </w:p>
    <w:p>
      <w:pPr>
        <w:jc w:val="center"/>
        <w:rPr>
          <w:rFonts w:ascii="黑体" w:hAnsi="黑体" w:eastAsia="黑体"/>
          <w:b/>
          <w:sz w:val="52"/>
          <w:szCs w:val="52"/>
        </w:rPr>
      </w:pPr>
      <w:r>
        <w:rPr>
          <w:rFonts w:hint="eastAsia" w:ascii="黑体" w:hAnsi="黑体" w:eastAsia="黑体"/>
          <w:b/>
          <w:sz w:val="52"/>
          <w:szCs w:val="52"/>
        </w:rPr>
        <w:t>（20</w:t>
      </w:r>
      <w:r>
        <w:rPr>
          <w:rFonts w:hint="eastAsia" w:ascii="黑体" w:hAnsi="黑体" w:eastAsia="黑体"/>
          <w:b/>
          <w:sz w:val="52"/>
          <w:szCs w:val="52"/>
          <w:lang w:val="en-US" w:eastAsia="zh-CN"/>
        </w:rPr>
        <w:t>21</w:t>
      </w:r>
      <w:r>
        <w:rPr>
          <w:rFonts w:hint="eastAsia" w:ascii="黑体" w:hAnsi="黑体" w:eastAsia="黑体"/>
          <w:b/>
          <w:sz w:val="52"/>
          <w:szCs w:val="52"/>
        </w:rPr>
        <w:t>年度）</w:t>
      </w: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sz w:val="32"/>
          <w:szCs w:val="28"/>
        </w:rPr>
      </w:pPr>
    </w:p>
    <w:p>
      <w:pPr>
        <w:jc w:val="center"/>
        <w:rPr>
          <w:b/>
          <w:sz w:val="32"/>
          <w:szCs w:val="28"/>
        </w:rPr>
      </w:pPr>
      <w:r>
        <w:rPr>
          <w:rFonts w:hint="eastAsia"/>
          <w:b/>
          <w:sz w:val="32"/>
          <w:szCs w:val="28"/>
        </w:rPr>
        <w:t>20</w:t>
      </w:r>
      <w:r>
        <w:rPr>
          <w:rFonts w:hint="eastAsia"/>
          <w:b/>
          <w:sz w:val="32"/>
          <w:szCs w:val="28"/>
          <w:lang w:val="en-US" w:eastAsia="zh-CN"/>
        </w:rPr>
        <w:t>22</w:t>
      </w:r>
      <w:r>
        <w:rPr>
          <w:rFonts w:hint="eastAsia"/>
          <w:b/>
          <w:sz w:val="32"/>
          <w:szCs w:val="28"/>
        </w:rPr>
        <w:t>年</w:t>
      </w:r>
      <w:r>
        <w:rPr>
          <w:rFonts w:hint="eastAsia"/>
          <w:b/>
          <w:sz w:val="32"/>
          <w:szCs w:val="28"/>
          <w:lang w:val="en-US" w:eastAsia="zh-CN"/>
        </w:rPr>
        <w:t>9</w:t>
      </w:r>
      <w:r>
        <w:rPr>
          <w:rFonts w:hint="eastAsia"/>
          <w:b/>
          <w:sz w:val="32"/>
          <w:szCs w:val="28"/>
        </w:rPr>
        <w:t>月6日</w:t>
      </w:r>
    </w:p>
    <w:p>
      <w:pPr>
        <w:jc w:val="center"/>
        <w:rPr>
          <w:sz w:val="32"/>
          <w:szCs w:val="28"/>
        </w:rPr>
      </w:pPr>
    </w:p>
    <w:p>
      <w:pPr>
        <w:jc w:val="center"/>
        <w:rPr>
          <w:sz w:val="32"/>
          <w:szCs w:val="28"/>
        </w:rPr>
      </w:pPr>
    </w:p>
    <w:p>
      <w:pPr>
        <w:pStyle w:val="2"/>
        <w:outlineLvl w:val="9"/>
        <w:sectPr>
          <w:pgSz w:w="11906" w:h="16838"/>
          <w:pgMar w:top="1247" w:right="1418" w:bottom="1134" w:left="1418" w:header="851" w:footer="992" w:gutter="0"/>
          <w:cols w:space="425" w:num="1"/>
          <w:docGrid w:type="lines" w:linePitch="312" w:charSpace="0"/>
        </w:sectPr>
      </w:pPr>
      <w:bookmarkStart w:id="4" w:name="_Toc522175426"/>
    </w:p>
    <w:p>
      <w:pPr>
        <w:pStyle w:val="2"/>
        <w:outlineLvl w:val="0"/>
      </w:pPr>
      <w:bookmarkStart w:id="5" w:name="_Toc2813"/>
      <w:bookmarkStart w:id="6" w:name="_Toc1705"/>
      <w:r>
        <w:rPr>
          <w:rFonts w:hint="eastAsia"/>
        </w:rPr>
        <w:t>报告概述</w:t>
      </w:r>
      <w:bookmarkEnd w:id="4"/>
      <w:bookmarkEnd w:id="5"/>
      <w:bookmarkEnd w:id="6"/>
    </w:p>
    <w:p>
      <w:pPr>
        <w:ind w:firstLine="480" w:firstLineChars="200"/>
        <w:rPr>
          <w:rFonts w:ascii="宋体" w:hAnsi="宋体"/>
          <w:sz w:val="24"/>
        </w:rPr>
      </w:pPr>
      <w:r>
        <w:rPr>
          <w:rFonts w:hint="eastAsia" w:ascii="宋体" w:hAnsi="宋体"/>
          <w:sz w:val="24"/>
        </w:rPr>
        <w:t>此报告为江苏苏新轴座有限公司对外公开发布的《社会责任报告》。 本报告参照GRI（</w:t>
      </w:r>
      <w:r>
        <w:rPr>
          <w:rFonts w:ascii="宋体" w:hAnsi="宋体"/>
          <w:sz w:val="24"/>
        </w:rPr>
        <w:t>全球报告倡议组织</w:t>
      </w:r>
      <w:r>
        <w:rPr>
          <w:rFonts w:hint="eastAsia" w:ascii="宋体" w:hAnsi="宋体"/>
          <w:sz w:val="24"/>
        </w:rPr>
        <w:t xml:space="preserve">）《可持续发展报告指南》（G3版）、中国社科院《中国企业社会责任报告编写指南》，并结合江苏苏新对社会责任的独特理解和江苏苏新的具体实践编写而成。 </w:t>
      </w:r>
    </w:p>
    <w:p>
      <w:pPr>
        <w:pStyle w:val="2"/>
        <w:outlineLvl w:val="0"/>
      </w:pPr>
      <w:bookmarkStart w:id="7" w:name="_Toc522175427"/>
      <w:bookmarkStart w:id="8" w:name="_Toc7379"/>
      <w:bookmarkStart w:id="9" w:name="_Toc24513"/>
      <w:r>
        <w:rPr>
          <w:rFonts w:hint="eastAsia"/>
        </w:rPr>
        <w:t>报告范围</w:t>
      </w:r>
      <w:bookmarkEnd w:id="7"/>
      <w:bookmarkEnd w:id="8"/>
      <w:bookmarkEnd w:id="9"/>
    </w:p>
    <w:p>
      <w:pPr>
        <w:autoSpaceDN w:val="0"/>
        <w:spacing w:before="150" w:after="150" w:line="378" w:lineRule="atLeast"/>
        <w:ind w:firstLine="420"/>
        <w:rPr>
          <w:rFonts w:ascii="宋体" w:hAnsi="宋体"/>
          <w:sz w:val="24"/>
        </w:rPr>
      </w:pPr>
      <w:r>
        <w:rPr>
          <w:rFonts w:hint="eastAsia" w:ascii="宋体" w:hAnsi="宋体"/>
          <w:sz w:val="24"/>
        </w:rPr>
        <w:t>除非有特殊说明，本报告主要描述20</w:t>
      </w:r>
      <w:r>
        <w:rPr>
          <w:rFonts w:hint="eastAsia" w:ascii="宋体" w:hAnsi="宋体"/>
          <w:sz w:val="24"/>
          <w:lang w:val="en-US" w:eastAsia="zh-CN"/>
        </w:rPr>
        <w:t>21</w:t>
      </w:r>
      <w:r>
        <w:rPr>
          <w:rFonts w:hint="eastAsia" w:ascii="宋体" w:hAnsi="宋体"/>
          <w:sz w:val="24"/>
        </w:rPr>
        <w:t>年1月1日至20</w:t>
      </w:r>
      <w:r>
        <w:rPr>
          <w:rFonts w:hint="eastAsia" w:ascii="宋体" w:hAnsi="宋体"/>
          <w:sz w:val="24"/>
          <w:lang w:val="en-US" w:eastAsia="zh-CN"/>
        </w:rPr>
        <w:t>21</w:t>
      </w:r>
      <w:r>
        <w:rPr>
          <w:rFonts w:hint="eastAsia" w:ascii="宋体" w:hAnsi="宋体"/>
          <w:sz w:val="24"/>
        </w:rPr>
        <w:t xml:space="preserve">年12月31日期间，江苏苏新轴座有限公司在公司运营、内控管理、发展规划、供应链、人才建设等方面的工作，报告内容涵盖了公司外球面球轴承、轴承座、飞轮壳等制造在营业务。 </w:t>
      </w:r>
    </w:p>
    <w:p>
      <w:pPr>
        <w:autoSpaceDN w:val="0"/>
        <w:spacing w:before="150" w:after="150" w:line="378" w:lineRule="atLeast"/>
        <w:rPr>
          <w:rFonts w:ascii="宋体" w:hAnsi="宋体"/>
          <w:sz w:val="24"/>
          <w:szCs w:val="21"/>
        </w:rPr>
      </w:pPr>
    </w:p>
    <w:p>
      <w:pPr>
        <w:autoSpaceDN w:val="0"/>
        <w:spacing w:before="150" w:after="150" w:line="378" w:lineRule="atLeast"/>
        <w:outlineLvl w:val="0"/>
        <w:rPr>
          <w:rFonts w:ascii="宋体" w:hAnsi="宋体"/>
          <w:sz w:val="24"/>
          <w:szCs w:val="21"/>
        </w:rPr>
      </w:pPr>
      <w:bookmarkStart w:id="10" w:name="_Toc6"/>
      <w:bookmarkStart w:id="11" w:name="_Toc6491"/>
      <w:r>
        <w:rPr>
          <w:rFonts w:hint="eastAsia" w:ascii="宋体" w:hAnsi="宋体"/>
          <w:sz w:val="24"/>
        </w:rPr>
        <w:t>江苏苏新轴座有限公司</w:t>
      </w:r>
      <w:bookmarkEnd w:id="10"/>
      <w:bookmarkEnd w:id="11"/>
      <w:r>
        <w:rPr>
          <w:rFonts w:hint="eastAsia" w:ascii="宋体" w:hAnsi="宋体"/>
          <w:sz w:val="24"/>
          <w:szCs w:val="21"/>
        </w:rPr>
        <w:t xml:space="preserve"> </w:t>
      </w:r>
    </w:p>
    <w:p>
      <w:pPr>
        <w:autoSpaceDN w:val="0"/>
        <w:spacing w:before="150" w:after="150" w:line="378" w:lineRule="atLeast"/>
        <w:rPr>
          <w:rFonts w:ascii="宋体" w:hAnsi="宋体"/>
          <w:sz w:val="24"/>
          <w:szCs w:val="21"/>
        </w:rPr>
      </w:pPr>
      <w:r>
        <w:rPr>
          <w:rFonts w:hint="eastAsia" w:ascii="宋体" w:hAnsi="宋体"/>
          <w:sz w:val="24"/>
          <w:szCs w:val="21"/>
        </w:rPr>
        <w:t>地址：常州市武进区雪堰镇漕桥工业集中区</w:t>
      </w:r>
    </w:p>
    <w:p>
      <w:pPr>
        <w:autoSpaceDN w:val="0"/>
        <w:spacing w:before="150" w:after="150" w:line="378" w:lineRule="atLeast"/>
        <w:rPr>
          <w:rFonts w:ascii="宋体" w:hAnsi="宋体"/>
          <w:sz w:val="24"/>
          <w:szCs w:val="21"/>
        </w:rPr>
      </w:pPr>
      <w:r>
        <w:rPr>
          <w:rFonts w:hint="eastAsia" w:ascii="宋体" w:hAnsi="宋体"/>
          <w:sz w:val="24"/>
          <w:szCs w:val="21"/>
        </w:rPr>
        <w:t>邮政编码：213171</w:t>
      </w:r>
    </w:p>
    <w:p>
      <w:pPr>
        <w:autoSpaceDN w:val="0"/>
        <w:spacing w:before="150" w:after="150" w:line="378" w:lineRule="atLeast"/>
        <w:rPr>
          <w:rFonts w:ascii="宋体" w:hAnsi="宋体"/>
          <w:sz w:val="24"/>
          <w:szCs w:val="21"/>
        </w:rPr>
      </w:pPr>
      <w:r>
        <w:rPr>
          <w:rFonts w:hint="eastAsia" w:ascii="宋体" w:hAnsi="宋体"/>
          <w:sz w:val="24"/>
          <w:szCs w:val="21"/>
        </w:rPr>
        <w:t>电话：0519-86211846</w:t>
      </w:r>
    </w:p>
    <w:p>
      <w:pPr>
        <w:autoSpaceDN w:val="0"/>
        <w:spacing w:before="150" w:after="150" w:line="378" w:lineRule="atLeast"/>
        <w:rPr>
          <w:rFonts w:ascii="宋体" w:hAnsi="宋体"/>
          <w:sz w:val="24"/>
          <w:szCs w:val="21"/>
        </w:rPr>
      </w:pPr>
      <w:r>
        <w:rPr>
          <w:rFonts w:hint="eastAsia" w:ascii="宋体" w:hAnsi="宋体"/>
          <w:sz w:val="24"/>
          <w:szCs w:val="21"/>
        </w:rPr>
        <w:t>传真：0519-86210667</w:t>
      </w:r>
    </w:p>
    <w:p>
      <w:pPr>
        <w:autoSpaceDN w:val="0"/>
        <w:spacing w:before="150" w:after="150" w:line="378" w:lineRule="atLeast"/>
        <w:rPr>
          <w:rFonts w:ascii="宋体" w:hAnsi="宋体"/>
          <w:sz w:val="24"/>
          <w:szCs w:val="21"/>
        </w:rPr>
      </w:pPr>
      <w:r>
        <w:rPr>
          <w:rFonts w:hint="eastAsia" w:ascii="宋体" w:hAnsi="宋体"/>
          <w:sz w:val="24"/>
          <w:szCs w:val="21"/>
        </w:rPr>
        <w:t>电子邮件：jssxbhc@su</w:t>
      </w:r>
      <w:r>
        <w:rPr>
          <w:sz w:val="24"/>
          <w:szCs w:val="21"/>
        </w:rPr>
        <w:t>-</w:t>
      </w:r>
      <w:r>
        <w:rPr>
          <w:rFonts w:hint="eastAsia"/>
          <w:sz w:val="24"/>
          <w:szCs w:val="21"/>
        </w:rPr>
        <w:t>xin.com</w:t>
      </w: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autoSpaceDN w:val="0"/>
        <w:spacing w:before="150" w:after="150" w:line="378" w:lineRule="atLeast"/>
        <w:rPr>
          <w:rFonts w:ascii="宋体" w:hAnsi="宋体"/>
          <w:sz w:val="24"/>
          <w:szCs w:val="21"/>
        </w:rPr>
      </w:pPr>
    </w:p>
    <w:p>
      <w:pPr>
        <w:pStyle w:val="2"/>
        <w:jc w:val="center"/>
        <w:outlineLvl w:val="9"/>
      </w:pPr>
    </w:p>
    <w:p>
      <w:bookmarkStart w:id="12" w:name="_Toc522175428"/>
      <w:r>
        <w:rPr>
          <w:rFonts w:hint="eastAsia"/>
        </w:rPr>
        <w:br w:type="page"/>
      </w:r>
    </w:p>
    <w:sdt>
      <w:sdtPr>
        <w:rPr>
          <w:rFonts w:ascii="宋体" w:hAnsi="宋体" w:eastAsia="宋体" w:cs="Times New Roman"/>
          <w:b/>
          <w:bCs/>
          <w:kern w:val="2"/>
          <w:sz w:val="32"/>
          <w:szCs w:val="36"/>
          <w:lang w:val="en-US" w:eastAsia="zh-CN" w:bidi="ar-SA"/>
        </w:rPr>
        <w:id w:val="147478587"/>
        <w15:color w:val="DBDBDB"/>
        <w:docPartObj>
          <w:docPartGallery w:val="Table of Contents"/>
          <w:docPartUnique/>
        </w:docPartObj>
      </w:sdtPr>
      <w:sdtEndPr>
        <w:rPr>
          <w:rFonts w:hint="eastAsia" w:ascii="Arial" w:hAnsi="Arial" w:eastAsia="黑体" w:cs="Times New Roman"/>
          <w:b/>
          <w:bCs/>
          <w:kern w:val="2"/>
          <w:sz w:val="32"/>
          <w:szCs w:val="20"/>
          <w:lang w:val="en-US" w:eastAsia="zh-CN" w:bidi="ar-SA"/>
        </w:rPr>
      </w:sdtEndPr>
      <w:sdtContent>
        <w:p>
          <w:pPr>
            <w:spacing w:before="0" w:beforeLines="0" w:after="0" w:afterLines="0" w:line="240" w:lineRule="auto"/>
            <w:ind w:left="0" w:leftChars="0" w:right="0" w:rightChars="0" w:firstLine="0" w:firstLineChars="0"/>
            <w:jc w:val="center"/>
            <w:rPr>
              <w:b/>
              <w:bCs/>
              <w:sz w:val="32"/>
              <w:szCs w:val="36"/>
            </w:rPr>
          </w:pPr>
          <w:r>
            <w:rPr>
              <w:rFonts w:ascii="宋体" w:hAnsi="宋体" w:eastAsia="宋体"/>
              <w:b/>
              <w:bCs/>
              <w:sz w:val="32"/>
              <w:szCs w:val="36"/>
            </w:rPr>
            <w:t>目</w:t>
          </w:r>
          <w:r>
            <w:rPr>
              <w:rFonts w:hint="eastAsia" w:ascii="宋体" w:hAnsi="宋体"/>
              <w:b/>
              <w:bCs/>
              <w:sz w:val="32"/>
              <w:szCs w:val="36"/>
              <w:lang w:val="en-US" w:eastAsia="zh-CN"/>
            </w:rPr>
            <w:t xml:space="preserve">  </w:t>
          </w:r>
          <w:r>
            <w:rPr>
              <w:rFonts w:ascii="宋体" w:hAnsi="宋体" w:eastAsia="宋体"/>
              <w:b/>
              <w:bCs/>
              <w:sz w:val="32"/>
              <w:szCs w:val="36"/>
            </w:rPr>
            <w:t>录</w:t>
          </w:r>
        </w:p>
        <w:p>
          <w:pPr>
            <w:pStyle w:val="8"/>
            <w:tabs>
              <w:tab w:val="right" w:leader="dot" w:pos="9070"/>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_Toc16398 </w:instrText>
          </w:r>
          <w:r>
            <w:rPr>
              <w:rFonts w:hint="eastAsia"/>
            </w:rPr>
            <w:fldChar w:fldCharType="separate"/>
          </w:r>
          <w:r>
            <w:rPr>
              <w:rFonts w:hint="eastAsia"/>
              <w:szCs w:val="24"/>
            </w:rPr>
            <w:t>一、公司简介</w:t>
          </w:r>
          <w:r>
            <w:tab/>
          </w:r>
          <w:r>
            <w:fldChar w:fldCharType="begin"/>
          </w:r>
          <w:r>
            <w:instrText xml:space="preserve"> PAGEREF _Toc16398 \h </w:instrText>
          </w:r>
          <w:r>
            <w:fldChar w:fldCharType="separate"/>
          </w:r>
          <w:r>
            <w:t>1</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_Toc8161 </w:instrText>
          </w:r>
          <w:r>
            <w:rPr>
              <w:rFonts w:hint="eastAsia"/>
            </w:rPr>
            <w:fldChar w:fldCharType="separate"/>
          </w:r>
          <w:r>
            <w:rPr>
              <w:rFonts w:hint="eastAsia"/>
              <w:szCs w:val="24"/>
            </w:rPr>
            <w:t>二、经营状况</w:t>
          </w:r>
          <w:r>
            <w:tab/>
          </w:r>
          <w:r>
            <w:fldChar w:fldCharType="begin"/>
          </w:r>
          <w:r>
            <w:instrText xml:space="preserve"> PAGEREF _Toc8161 \h </w:instrText>
          </w:r>
          <w:r>
            <w:fldChar w:fldCharType="separate"/>
          </w:r>
          <w:r>
            <w:t>2</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_Toc22863 </w:instrText>
          </w:r>
          <w:r>
            <w:rPr>
              <w:rFonts w:hint="eastAsia"/>
            </w:rPr>
            <w:fldChar w:fldCharType="separate"/>
          </w:r>
          <w:r>
            <w:rPr>
              <w:rFonts w:hint="eastAsia"/>
              <w:szCs w:val="24"/>
              <w:lang w:val="en-US" w:eastAsia="zh-CN"/>
            </w:rPr>
            <w:t>三</w:t>
          </w:r>
          <w:r>
            <w:rPr>
              <w:rFonts w:hint="eastAsia"/>
              <w:szCs w:val="24"/>
            </w:rPr>
            <w:t>、技术创新</w:t>
          </w:r>
          <w:r>
            <w:tab/>
          </w:r>
          <w:r>
            <w:fldChar w:fldCharType="begin"/>
          </w:r>
          <w:r>
            <w:instrText xml:space="preserve"> PAGEREF _Toc22863 \h </w:instrText>
          </w:r>
          <w:r>
            <w:fldChar w:fldCharType="separate"/>
          </w:r>
          <w:r>
            <w:t>2</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_Toc25662 </w:instrText>
          </w:r>
          <w:r>
            <w:rPr>
              <w:rFonts w:hint="eastAsia"/>
            </w:rPr>
            <w:fldChar w:fldCharType="separate"/>
          </w:r>
          <w:r>
            <w:rPr>
              <w:rFonts w:hint="eastAsia" w:asciiTheme="majorEastAsia" w:hAnsiTheme="majorEastAsia" w:eastAsiaTheme="majorEastAsia"/>
              <w:szCs w:val="24"/>
            </w:rPr>
            <w:t>1、技术管理工作</w:t>
          </w:r>
          <w:r>
            <w:tab/>
          </w:r>
          <w:r>
            <w:fldChar w:fldCharType="begin"/>
          </w:r>
          <w:r>
            <w:instrText xml:space="preserve"> PAGEREF _Toc25662 \h </w:instrText>
          </w:r>
          <w:r>
            <w:fldChar w:fldCharType="separate"/>
          </w:r>
          <w:r>
            <w:t>2</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_Toc6135 </w:instrText>
          </w:r>
          <w:r>
            <w:rPr>
              <w:rFonts w:hint="eastAsia"/>
            </w:rPr>
            <w:fldChar w:fldCharType="separate"/>
          </w:r>
          <w:r>
            <w:rPr>
              <w:rFonts w:hint="eastAsia" w:ascii="宋体" w:hAnsi="宋体" w:cs="宋体"/>
              <w:kern w:val="0"/>
              <w:szCs w:val="24"/>
            </w:rPr>
            <w:t>2、研发团队</w:t>
          </w:r>
          <w:r>
            <w:tab/>
          </w:r>
          <w:r>
            <w:fldChar w:fldCharType="begin"/>
          </w:r>
          <w:r>
            <w:instrText xml:space="preserve"> PAGEREF _Toc6135 \h </w:instrText>
          </w:r>
          <w:r>
            <w:fldChar w:fldCharType="separate"/>
          </w:r>
          <w:r>
            <w:t>4</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_Toc20651 </w:instrText>
          </w:r>
          <w:r>
            <w:rPr>
              <w:rFonts w:hint="eastAsia"/>
            </w:rPr>
            <w:fldChar w:fldCharType="separate"/>
          </w:r>
          <w:r>
            <w:rPr>
              <w:rFonts w:hint="eastAsia"/>
              <w:szCs w:val="24"/>
            </w:rPr>
            <w:t>3、知识产权工作</w:t>
          </w:r>
          <w:r>
            <w:tab/>
          </w:r>
          <w:r>
            <w:fldChar w:fldCharType="begin"/>
          </w:r>
          <w:r>
            <w:instrText xml:space="preserve"> PAGEREF _Toc20651 \h </w:instrText>
          </w:r>
          <w:r>
            <w:fldChar w:fldCharType="separate"/>
          </w:r>
          <w:r>
            <w:t>5</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_Toc30371 </w:instrText>
          </w:r>
          <w:r>
            <w:rPr>
              <w:rFonts w:hint="eastAsia"/>
            </w:rPr>
            <w:fldChar w:fldCharType="separate"/>
          </w:r>
          <w:r>
            <w:rPr>
              <w:rFonts w:hint="eastAsia" w:ascii="宋体" w:hAnsi="宋体" w:cs="宋体"/>
              <w:kern w:val="0"/>
              <w:szCs w:val="24"/>
              <w:lang w:val="en-US" w:eastAsia="zh-CN"/>
            </w:rPr>
            <w:t>四</w:t>
          </w:r>
          <w:r>
            <w:rPr>
              <w:rFonts w:hint="eastAsia" w:ascii="宋体" w:hAnsi="宋体" w:cs="宋体"/>
              <w:kern w:val="0"/>
              <w:szCs w:val="24"/>
            </w:rPr>
            <w:t>、信用建设</w:t>
          </w:r>
          <w:r>
            <w:tab/>
          </w:r>
          <w:r>
            <w:fldChar w:fldCharType="begin"/>
          </w:r>
          <w:r>
            <w:instrText xml:space="preserve"> PAGEREF _Toc30371 \h </w:instrText>
          </w:r>
          <w:r>
            <w:fldChar w:fldCharType="separate"/>
          </w:r>
          <w:r>
            <w:t>5</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_Toc29044 </w:instrText>
          </w:r>
          <w:r>
            <w:rPr>
              <w:rFonts w:hint="eastAsia"/>
            </w:rPr>
            <w:fldChar w:fldCharType="separate"/>
          </w:r>
          <w:r>
            <w:rPr>
              <w:rFonts w:hint="eastAsia" w:ascii="宋体" w:hAnsi="宋体" w:cs="宋体"/>
              <w:kern w:val="0"/>
              <w:szCs w:val="24"/>
              <w:lang w:val="en-US" w:eastAsia="zh-CN"/>
            </w:rPr>
            <w:t>五</w:t>
          </w:r>
          <w:r>
            <w:rPr>
              <w:rFonts w:hint="eastAsia" w:ascii="宋体" w:hAnsi="宋体" w:cs="宋体"/>
              <w:kern w:val="0"/>
              <w:szCs w:val="24"/>
            </w:rPr>
            <w:t>、环保节约</w:t>
          </w:r>
          <w:r>
            <w:rPr>
              <w:rFonts w:hint="eastAsia" w:ascii="宋体" w:hAnsi="宋体" w:cs="宋体"/>
              <w:kern w:val="0"/>
              <w:szCs w:val="24"/>
              <w:lang w:val="en-US" w:eastAsia="zh-CN"/>
            </w:rPr>
            <w:t>与低碳运营</w:t>
          </w:r>
          <w:r>
            <w:tab/>
          </w:r>
          <w:r>
            <w:fldChar w:fldCharType="begin"/>
          </w:r>
          <w:r>
            <w:instrText xml:space="preserve"> PAGEREF _Toc29044 \h </w:instrText>
          </w:r>
          <w:r>
            <w:fldChar w:fldCharType="separate"/>
          </w:r>
          <w:r>
            <w:t>6</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_Toc25607 </w:instrText>
          </w:r>
          <w:r>
            <w:rPr>
              <w:rFonts w:hint="eastAsia"/>
            </w:rPr>
            <w:fldChar w:fldCharType="separate"/>
          </w:r>
          <w:r>
            <w:rPr>
              <w:rFonts w:hint="eastAsia" w:ascii="宋体" w:hAnsi="宋体" w:cs="宋体"/>
              <w:kern w:val="0"/>
              <w:szCs w:val="24"/>
            </w:rPr>
            <w:t>1、环境管理</w:t>
          </w:r>
          <w:r>
            <w:tab/>
          </w:r>
          <w:r>
            <w:fldChar w:fldCharType="begin"/>
          </w:r>
          <w:r>
            <w:instrText xml:space="preserve"> PAGEREF _Toc25607 \h </w:instrText>
          </w:r>
          <w:r>
            <w:fldChar w:fldCharType="separate"/>
          </w:r>
          <w:r>
            <w:t>6</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_Toc10154 </w:instrText>
          </w:r>
          <w:r>
            <w:rPr>
              <w:rFonts w:hint="eastAsia"/>
            </w:rPr>
            <w:fldChar w:fldCharType="separate"/>
          </w:r>
          <w:r>
            <w:rPr>
              <w:rFonts w:hint="eastAsia" w:ascii="宋体" w:hAnsi="宋体" w:cs="宋体"/>
              <w:kern w:val="0"/>
              <w:szCs w:val="24"/>
            </w:rPr>
            <w:t>2、资源节约与综合利用</w:t>
          </w:r>
          <w:r>
            <w:tab/>
          </w:r>
          <w:r>
            <w:fldChar w:fldCharType="begin"/>
          </w:r>
          <w:r>
            <w:instrText xml:space="preserve"> PAGEREF _Toc10154 \h </w:instrText>
          </w:r>
          <w:r>
            <w:fldChar w:fldCharType="separate"/>
          </w:r>
          <w:r>
            <w:t>7</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_Toc32092 </w:instrText>
          </w:r>
          <w:r>
            <w:rPr>
              <w:rFonts w:hint="eastAsia"/>
            </w:rPr>
            <w:fldChar w:fldCharType="separate"/>
          </w:r>
          <w:r>
            <w:rPr>
              <w:rFonts w:hint="eastAsia" w:ascii="宋体" w:hAnsi="宋体" w:cs="宋体"/>
              <w:kern w:val="0"/>
              <w:szCs w:val="24"/>
              <w:lang w:val="en-US" w:eastAsia="zh-CN"/>
            </w:rPr>
            <w:t>3、低碳运营</w:t>
          </w:r>
          <w:r>
            <w:tab/>
          </w:r>
          <w:r>
            <w:fldChar w:fldCharType="begin"/>
          </w:r>
          <w:r>
            <w:instrText xml:space="preserve"> PAGEREF _Toc32092 \h </w:instrText>
          </w:r>
          <w:r>
            <w:fldChar w:fldCharType="separate"/>
          </w:r>
          <w:r>
            <w:t>7</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_Toc619 </w:instrText>
          </w:r>
          <w:r>
            <w:rPr>
              <w:rFonts w:hint="eastAsia"/>
            </w:rPr>
            <w:fldChar w:fldCharType="separate"/>
          </w:r>
          <w:r>
            <w:rPr>
              <w:rFonts w:hint="eastAsia" w:ascii="宋体" w:hAnsi="宋体" w:cs="宋体"/>
              <w:kern w:val="0"/>
              <w:szCs w:val="24"/>
              <w:lang w:val="en-US" w:eastAsia="zh-CN"/>
            </w:rPr>
            <w:t>六</w:t>
          </w:r>
          <w:r>
            <w:rPr>
              <w:rFonts w:hint="eastAsia" w:ascii="宋体" w:hAnsi="宋体" w:cs="宋体"/>
              <w:kern w:val="0"/>
              <w:szCs w:val="24"/>
            </w:rPr>
            <w:t>、安全生产</w:t>
          </w:r>
          <w:r>
            <w:tab/>
          </w:r>
          <w:r>
            <w:fldChar w:fldCharType="begin"/>
          </w:r>
          <w:r>
            <w:instrText xml:space="preserve"> PAGEREF _Toc619 \h </w:instrText>
          </w:r>
          <w:r>
            <w:fldChar w:fldCharType="separate"/>
          </w:r>
          <w:r>
            <w:t>8</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_Toc26881 </w:instrText>
          </w:r>
          <w:r>
            <w:rPr>
              <w:rFonts w:hint="eastAsia"/>
            </w:rPr>
            <w:fldChar w:fldCharType="separate"/>
          </w:r>
          <w:r>
            <w:rPr>
              <w:rFonts w:hint="eastAsia" w:ascii="宋体" w:hAnsi="宋体" w:cs="宋体"/>
              <w:kern w:val="0"/>
              <w:szCs w:val="24"/>
            </w:rPr>
            <w:t>1、安全生产管理</w:t>
          </w:r>
          <w:r>
            <w:tab/>
          </w:r>
          <w:r>
            <w:fldChar w:fldCharType="begin"/>
          </w:r>
          <w:r>
            <w:instrText xml:space="preserve"> PAGEREF _Toc26881 \h </w:instrText>
          </w:r>
          <w:r>
            <w:fldChar w:fldCharType="separate"/>
          </w:r>
          <w:r>
            <w:t>8</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_Toc31589 </w:instrText>
          </w:r>
          <w:r>
            <w:rPr>
              <w:rFonts w:hint="eastAsia"/>
            </w:rPr>
            <w:fldChar w:fldCharType="separate"/>
          </w:r>
          <w:r>
            <w:rPr>
              <w:rFonts w:hint="eastAsia" w:ascii="宋体" w:hAnsi="宋体" w:cs="宋体"/>
              <w:kern w:val="0"/>
              <w:szCs w:val="24"/>
            </w:rPr>
            <w:t>2、安全生产投入</w:t>
          </w:r>
          <w:r>
            <w:tab/>
          </w:r>
          <w:r>
            <w:fldChar w:fldCharType="begin"/>
          </w:r>
          <w:r>
            <w:instrText xml:space="preserve"> PAGEREF _Toc31589 \h </w:instrText>
          </w:r>
          <w:r>
            <w:fldChar w:fldCharType="separate"/>
          </w:r>
          <w:r>
            <w:t>8</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_Toc15220 </w:instrText>
          </w:r>
          <w:r>
            <w:rPr>
              <w:rFonts w:hint="eastAsia"/>
            </w:rPr>
            <w:fldChar w:fldCharType="separate"/>
          </w:r>
          <w:r>
            <w:rPr>
              <w:rFonts w:hint="eastAsia" w:ascii="宋体" w:hAnsi="宋体" w:cs="宋体"/>
              <w:kern w:val="0"/>
              <w:szCs w:val="24"/>
            </w:rPr>
            <w:t>3、安全生产教育和培训</w:t>
          </w:r>
          <w:r>
            <w:tab/>
          </w:r>
          <w:r>
            <w:fldChar w:fldCharType="begin"/>
          </w:r>
          <w:r>
            <w:instrText xml:space="preserve"> PAGEREF _Toc15220 \h </w:instrText>
          </w:r>
          <w:r>
            <w:fldChar w:fldCharType="separate"/>
          </w:r>
          <w:r>
            <w:t>8</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_Toc30851 </w:instrText>
          </w:r>
          <w:r>
            <w:rPr>
              <w:rFonts w:hint="eastAsia"/>
            </w:rPr>
            <w:fldChar w:fldCharType="separate"/>
          </w:r>
          <w:r>
            <w:rPr>
              <w:rFonts w:hint="eastAsia" w:ascii="宋体" w:hAnsi="宋体" w:cs="宋体"/>
              <w:kern w:val="0"/>
              <w:szCs w:val="24"/>
              <w:lang w:val="en-US" w:eastAsia="zh-CN"/>
            </w:rPr>
            <w:t>七</w:t>
          </w:r>
          <w:r>
            <w:rPr>
              <w:rFonts w:hint="eastAsia" w:ascii="宋体" w:hAnsi="宋体" w:cs="宋体"/>
              <w:kern w:val="0"/>
              <w:szCs w:val="24"/>
            </w:rPr>
            <w:t>、员工</w:t>
          </w:r>
          <w:r>
            <w:tab/>
          </w:r>
          <w:r>
            <w:fldChar w:fldCharType="begin"/>
          </w:r>
          <w:r>
            <w:instrText xml:space="preserve"> PAGEREF _Toc30851 \h </w:instrText>
          </w:r>
          <w:r>
            <w:fldChar w:fldCharType="separate"/>
          </w:r>
          <w:r>
            <w:t>8</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_Toc24787 </w:instrText>
          </w:r>
          <w:r>
            <w:rPr>
              <w:rFonts w:hint="eastAsia"/>
            </w:rPr>
            <w:fldChar w:fldCharType="separate"/>
          </w:r>
          <w:r>
            <w:rPr>
              <w:rFonts w:hint="eastAsia" w:ascii="宋体" w:hAnsi="宋体" w:cs="宋体"/>
              <w:kern w:val="0"/>
              <w:szCs w:val="24"/>
            </w:rPr>
            <w:t>1、劳动合同与薪酬</w:t>
          </w:r>
          <w:r>
            <w:tab/>
          </w:r>
          <w:r>
            <w:fldChar w:fldCharType="begin"/>
          </w:r>
          <w:r>
            <w:instrText xml:space="preserve"> PAGEREF _Toc24787 \h </w:instrText>
          </w:r>
          <w:r>
            <w:fldChar w:fldCharType="separate"/>
          </w:r>
          <w:r>
            <w:t>8</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_Toc17375 </w:instrText>
          </w:r>
          <w:r>
            <w:rPr>
              <w:rFonts w:hint="eastAsia"/>
            </w:rPr>
            <w:fldChar w:fldCharType="separate"/>
          </w:r>
          <w:r>
            <w:rPr>
              <w:rFonts w:hint="eastAsia" w:ascii="宋体" w:hAnsi="宋体" w:cs="宋体"/>
              <w:kern w:val="0"/>
              <w:szCs w:val="24"/>
            </w:rPr>
            <w:t>2、社会保障</w:t>
          </w:r>
          <w:r>
            <w:tab/>
          </w:r>
          <w:r>
            <w:fldChar w:fldCharType="begin"/>
          </w:r>
          <w:r>
            <w:instrText xml:space="preserve"> PAGEREF _Toc17375 \h </w:instrText>
          </w:r>
          <w:r>
            <w:fldChar w:fldCharType="separate"/>
          </w:r>
          <w:r>
            <w:t>9</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_Toc6005 </w:instrText>
          </w:r>
          <w:r>
            <w:rPr>
              <w:rFonts w:hint="eastAsia"/>
            </w:rPr>
            <w:fldChar w:fldCharType="separate"/>
          </w:r>
          <w:r>
            <w:rPr>
              <w:rFonts w:hint="eastAsia" w:ascii="宋体" w:hAnsi="宋体" w:cs="宋体"/>
              <w:kern w:val="0"/>
              <w:szCs w:val="24"/>
            </w:rPr>
            <w:t>3、员工福利</w:t>
          </w:r>
          <w:r>
            <w:tab/>
          </w:r>
          <w:r>
            <w:fldChar w:fldCharType="begin"/>
          </w:r>
          <w:r>
            <w:instrText xml:space="preserve"> PAGEREF _Toc6005 \h </w:instrText>
          </w:r>
          <w:r>
            <w:fldChar w:fldCharType="separate"/>
          </w:r>
          <w:r>
            <w:t>9</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_Toc29810 </w:instrText>
          </w:r>
          <w:r>
            <w:rPr>
              <w:rFonts w:hint="eastAsia"/>
            </w:rPr>
            <w:fldChar w:fldCharType="separate"/>
          </w:r>
          <w:r>
            <w:rPr>
              <w:rFonts w:hint="eastAsia" w:ascii="宋体" w:hAnsi="宋体" w:cs="宋体"/>
              <w:kern w:val="0"/>
              <w:szCs w:val="24"/>
            </w:rPr>
            <w:t>4、职业健康安全</w:t>
          </w:r>
          <w:r>
            <w:tab/>
          </w:r>
          <w:r>
            <w:fldChar w:fldCharType="begin"/>
          </w:r>
          <w:r>
            <w:instrText xml:space="preserve"> PAGEREF _Toc29810 \h </w:instrText>
          </w:r>
          <w:r>
            <w:fldChar w:fldCharType="separate"/>
          </w:r>
          <w:r>
            <w:t>10</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_Toc11373 </w:instrText>
          </w:r>
          <w:r>
            <w:rPr>
              <w:rFonts w:hint="eastAsia"/>
            </w:rPr>
            <w:fldChar w:fldCharType="separate"/>
          </w:r>
          <w:r>
            <w:rPr>
              <w:rFonts w:hint="eastAsia" w:ascii="宋体" w:hAnsi="宋体" w:cs="宋体"/>
              <w:kern w:val="0"/>
              <w:szCs w:val="24"/>
            </w:rPr>
            <w:t>5、民主管理</w:t>
          </w:r>
          <w:r>
            <w:tab/>
          </w:r>
          <w:r>
            <w:fldChar w:fldCharType="begin"/>
          </w:r>
          <w:r>
            <w:instrText xml:space="preserve"> PAGEREF _Toc11373 \h </w:instrText>
          </w:r>
          <w:r>
            <w:fldChar w:fldCharType="separate"/>
          </w:r>
          <w:r>
            <w:t>10</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_Toc21785 </w:instrText>
          </w:r>
          <w:r>
            <w:rPr>
              <w:rFonts w:hint="eastAsia"/>
            </w:rPr>
            <w:fldChar w:fldCharType="separate"/>
          </w:r>
          <w:r>
            <w:rPr>
              <w:rFonts w:hint="eastAsia" w:ascii="宋体" w:hAnsi="宋体" w:cs="宋体"/>
              <w:kern w:val="0"/>
              <w:szCs w:val="24"/>
            </w:rPr>
            <w:t>6、员工培训和发展</w:t>
          </w:r>
          <w:r>
            <w:tab/>
          </w:r>
          <w:r>
            <w:fldChar w:fldCharType="begin"/>
          </w:r>
          <w:r>
            <w:instrText xml:space="preserve"> PAGEREF _Toc21785 \h </w:instrText>
          </w:r>
          <w:r>
            <w:fldChar w:fldCharType="separate"/>
          </w:r>
          <w:r>
            <w:t>10</w:t>
          </w:r>
          <w:r>
            <w:fldChar w:fldCharType="end"/>
          </w:r>
          <w:r>
            <w:rPr>
              <w:rFonts w:hint="eastAsia"/>
            </w:rPr>
            <w:fldChar w:fldCharType="end"/>
          </w:r>
        </w:p>
        <w:p>
          <w:pPr>
            <w:pStyle w:val="8"/>
            <w:tabs>
              <w:tab w:val="right" w:leader="dot" w:pos="9070"/>
            </w:tabs>
          </w:pPr>
          <w:r>
            <w:rPr>
              <w:rFonts w:hint="eastAsia"/>
            </w:rPr>
            <w:fldChar w:fldCharType="begin"/>
          </w:r>
          <w:r>
            <w:rPr>
              <w:rFonts w:hint="eastAsia"/>
            </w:rPr>
            <w:instrText xml:space="preserve"> HYPERLINK \l _Toc28906 </w:instrText>
          </w:r>
          <w:r>
            <w:rPr>
              <w:rFonts w:hint="eastAsia"/>
            </w:rPr>
            <w:fldChar w:fldCharType="separate"/>
          </w:r>
          <w:r>
            <w:rPr>
              <w:rFonts w:hint="eastAsia" w:ascii="宋体" w:hAnsi="宋体" w:cs="宋体"/>
              <w:kern w:val="0"/>
              <w:szCs w:val="24"/>
              <w:lang w:val="en-US" w:eastAsia="zh-CN"/>
            </w:rPr>
            <w:t>八</w:t>
          </w:r>
          <w:r>
            <w:rPr>
              <w:rFonts w:hint="eastAsia" w:ascii="宋体" w:hAnsi="宋体" w:cs="宋体"/>
              <w:kern w:val="0"/>
              <w:szCs w:val="24"/>
            </w:rPr>
            <w:t>、社会责任</w:t>
          </w:r>
          <w:r>
            <w:tab/>
          </w:r>
          <w:r>
            <w:fldChar w:fldCharType="begin"/>
          </w:r>
          <w:r>
            <w:instrText xml:space="preserve"> PAGEREF _Toc28906 \h </w:instrText>
          </w:r>
          <w:r>
            <w:fldChar w:fldCharType="separate"/>
          </w:r>
          <w:r>
            <w:t>11</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_Toc1255 </w:instrText>
          </w:r>
          <w:r>
            <w:rPr>
              <w:rFonts w:hint="eastAsia"/>
            </w:rPr>
            <w:fldChar w:fldCharType="separate"/>
          </w:r>
          <w:r>
            <w:rPr>
              <w:rFonts w:hint="eastAsia" w:ascii="宋体" w:hAnsi="宋体" w:cs="宋体"/>
              <w:kern w:val="0"/>
              <w:szCs w:val="24"/>
            </w:rPr>
            <w:t>1、公共责任</w:t>
          </w:r>
          <w:r>
            <w:tab/>
          </w:r>
          <w:r>
            <w:fldChar w:fldCharType="begin"/>
          </w:r>
          <w:r>
            <w:instrText xml:space="preserve"> PAGEREF _Toc1255 \h </w:instrText>
          </w:r>
          <w:r>
            <w:fldChar w:fldCharType="separate"/>
          </w:r>
          <w:r>
            <w:t>11</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_Toc22483 </w:instrText>
          </w:r>
          <w:r>
            <w:rPr>
              <w:rFonts w:hint="eastAsia"/>
            </w:rPr>
            <w:fldChar w:fldCharType="separate"/>
          </w:r>
          <w:r>
            <w:rPr>
              <w:rFonts w:hint="eastAsia" w:ascii="宋体" w:hAnsi="宋体" w:cs="宋体"/>
              <w:kern w:val="0"/>
              <w:szCs w:val="24"/>
            </w:rPr>
            <w:t>2、道德行为</w:t>
          </w:r>
          <w:r>
            <w:tab/>
          </w:r>
          <w:r>
            <w:fldChar w:fldCharType="begin"/>
          </w:r>
          <w:r>
            <w:instrText xml:space="preserve"> PAGEREF _Toc22483 \h </w:instrText>
          </w:r>
          <w:r>
            <w:fldChar w:fldCharType="separate"/>
          </w:r>
          <w:r>
            <w:t>13</w:t>
          </w:r>
          <w:r>
            <w:fldChar w:fldCharType="end"/>
          </w:r>
          <w:r>
            <w:rPr>
              <w:rFonts w:hint="eastAsia"/>
            </w:rPr>
            <w:fldChar w:fldCharType="end"/>
          </w:r>
        </w:p>
        <w:p>
          <w:pPr>
            <w:pStyle w:val="9"/>
            <w:tabs>
              <w:tab w:val="right" w:leader="dot" w:pos="9070"/>
            </w:tabs>
          </w:pPr>
          <w:r>
            <w:rPr>
              <w:rFonts w:hint="eastAsia"/>
            </w:rPr>
            <w:fldChar w:fldCharType="begin"/>
          </w:r>
          <w:r>
            <w:rPr>
              <w:rFonts w:hint="eastAsia"/>
            </w:rPr>
            <w:instrText xml:space="preserve"> HYPERLINK \l _Toc8921 </w:instrText>
          </w:r>
          <w:r>
            <w:rPr>
              <w:rFonts w:hint="eastAsia"/>
            </w:rPr>
            <w:fldChar w:fldCharType="separate"/>
          </w:r>
          <w:r>
            <w:rPr>
              <w:rFonts w:hint="eastAsia" w:ascii="宋体" w:hAnsi="宋体" w:cs="宋体"/>
              <w:kern w:val="0"/>
              <w:szCs w:val="24"/>
            </w:rPr>
            <w:t>3、自愿开展公益支持</w:t>
          </w:r>
          <w:r>
            <w:tab/>
          </w:r>
          <w:r>
            <w:fldChar w:fldCharType="begin"/>
          </w:r>
          <w:r>
            <w:instrText xml:space="preserve"> PAGEREF _Toc8921 \h </w:instrText>
          </w:r>
          <w:r>
            <w:fldChar w:fldCharType="separate"/>
          </w:r>
          <w:r>
            <w:t>15</w:t>
          </w:r>
          <w:r>
            <w:fldChar w:fldCharType="end"/>
          </w:r>
          <w:r>
            <w:rPr>
              <w:rFonts w:hint="eastAsia"/>
            </w:rPr>
            <w:fldChar w:fldCharType="end"/>
          </w:r>
        </w:p>
        <w:p>
          <w:pPr>
            <w:pStyle w:val="2"/>
            <w:jc w:val="center"/>
            <w:outlineLvl w:val="9"/>
            <w:rPr>
              <w:rFonts w:hint="eastAsia"/>
            </w:rPr>
          </w:pPr>
          <w:r>
            <w:rPr>
              <w:rFonts w:hint="eastAsia"/>
            </w:rPr>
            <w:fldChar w:fldCharType="end"/>
          </w:r>
          <w:bookmarkEnd w:id="12"/>
        </w:p>
      </w:sdtContent>
    </w:sdt>
    <w:p/>
    <w:p/>
    <w:p/>
    <w:p/>
    <w:p/>
    <w:p>
      <w:pPr>
        <w:spacing w:beforeLines="50" w:afterLines="50" w:line="360" w:lineRule="auto"/>
        <w:ind w:firstLine="482" w:firstLineChars="200"/>
        <w:rPr>
          <w:rFonts w:hint="eastAsia"/>
          <w:b/>
          <w:sz w:val="24"/>
          <w:szCs w:val="24"/>
        </w:rPr>
        <w:sectPr>
          <w:pgSz w:w="11906" w:h="16838"/>
          <w:pgMar w:top="1247" w:right="1418" w:bottom="1134" w:left="1418" w:header="851" w:footer="992" w:gutter="0"/>
          <w:cols w:space="425" w:num="1"/>
          <w:docGrid w:type="lines" w:linePitch="312" w:charSpace="0"/>
        </w:sectPr>
      </w:pPr>
    </w:p>
    <w:p>
      <w:pPr>
        <w:spacing w:beforeLines="50" w:afterLines="50" w:line="360" w:lineRule="auto"/>
        <w:ind w:firstLine="482" w:firstLineChars="200"/>
        <w:outlineLvl w:val="0"/>
        <w:rPr>
          <w:b/>
          <w:sz w:val="24"/>
          <w:szCs w:val="24"/>
        </w:rPr>
      </w:pPr>
      <w:bookmarkStart w:id="13" w:name="_Toc16398"/>
      <w:r>
        <w:rPr>
          <w:rFonts w:hint="eastAsia"/>
          <w:b/>
          <w:sz w:val="24"/>
          <w:szCs w:val="24"/>
        </w:rPr>
        <w:t>一、公司简介</w:t>
      </w:r>
      <w:bookmarkEnd w:id="13"/>
    </w:p>
    <w:p>
      <w:pPr>
        <w:spacing w:line="360" w:lineRule="auto"/>
        <w:ind w:firstLine="480" w:firstLineChars="200"/>
        <w:rPr>
          <w:sz w:val="24"/>
          <w:szCs w:val="24"/>
        </w:rPr>
      </w:pPr>
      <w:r>
        <w:rPr>
          <w:rFonts w:hint="eastAsia"/>
          <w:sz w:val="24"/>
          <w:szCs w:val="24"/>
        </w:rPr>
        <w:t>江苏苏新轴座有限公司（简称：江苏苏新或公司）位于长三角中心地带常州市的南门外雪堰镇漕桥工业集中区，创建于上1995年1月。主要致力于汽车发动机行业、农业机械、工程机械等行业市场用飞轮壳、分动箱、外球面球轴承、轴承座产品的研发、制造，是江苏省高新技术企业、常州市驰名商标企业、常州市创新型企业，拥有常州市企业技术中心、武进区带座外球面轴承工程技术研究中心等多个技术研发平台。是中国铸造协会会员单位，江苏省轴承协会副会长单位。据中国轴承协会统计：连续多年江苏苏新轴承座产销量国内排名第二。</w:t>
      </w:r>
    </w:p>
    <w:p>
      <w:pPr>
        <w:spacing w:line="360" w:lineRule="auto"/>
        <w:ind w:firstLine="480" w:firstLineChars="200"/>
        <w:rPr>
          <w:rFonts w:hint="eastAsia" w:eastAsia="宋体"/>
          <w:sz w:val="24"/>
          <w:szCs w:val="24"/>
          <w:lang w:eastAsia="zh-CN"/>
        </w:rPr>
      </w:pPr>
      <w:r>
        <w:rPr>
          <w:rFonts w:hint="eastAsia"/>
          <w:sz w:val="24"/>
          <w:szCs w:val="24"/>
        </w:rPr>
        <w:t>江苏苏新已通过了IATF16949质量管理体系、ISO14001环境管理体系</w:t>
      </w:r>
      <w:r>
        <w:rPr>
          <w:rFonts w:hint="eastAsia"/>
          <w:sz w:val="24"/>
          <w:szCs w:val="24"/>
          <w:lang w:eastAsia="zh-CN"/>
        </w:rPr>
        <w:t>、</w:t>
      </w:r>
      <w:r>
        <w:rPr>
          <w:rFonts w:hint="eastAsia"/>
          <w:sz w:val="24"/>
          <w:szCs w:val="24"/>
          <w:lang w:val="en-US" w:eastAsia="zh-CN"/>
        </w:rPr>
        <w:t>ISO45001</w:t>
      </w:r>
      <w:r>
        <w:rPr>
          <w:rFonts w:hint="eastAsia"/>
          <w:sz w:val="24"/>
          <w:szCs w:val="24"/>
        </w:rPr>
        <w:t>职业健康安全管理体系</w:t>
      </w:r>
      <w:r>
        <w:rPr>
          <w:rFonts w:hint="eastAsia"/>
          <w:sz w:val="24"/>
          <w:szCs w:val="24"/>
          <w:lang w:eastAsia="zh-CN"/>
        </w:rPr>
        <w:t>、</w:t>
      </w:r>
      <w:r>
        <w:rPr>
          <w:rFonts w:hint="eastAsia"/>
          <w:sz w:val="24"/>
          <w:szCs w:val="24"/>
          <w:lang w:val="en-US" w:eastAsia="zh-CN"/>
        </w:rPr>
        <w:t>ISO50001能源管理体系以及ISO14064温室气体排放认证</w:t>
      </w:r>
      <w:r>
        <w:rPr>
          <w:rFonts w:hint="eastAsia"/>
          <w:sz w:val="24"/>
          <w:szCs w:val="24"/>
        </w:rPr>
        <w:t>。经多年来发展，企业信誉卓著，经营和管理状况良好，银行资信等级“AAA级”，先后被武进区工商行政</w:t>
      </w:r>
      <w:r>
        <w:rPr>
          <w:rFonts w:hint="eastAsia" w:ascii="Times New Roman" w:hAnsi="Times New Roman" w:cs="Times New Roman"/>
          <w:sz w:val="24"/>
          <w:szCs w:val="24"/>
        </w:rPr>
        <w:t>管理局认定为国家“重合同守信用企业”、“江苏省信用管理示范企业”、被武进区认定为“区成长型工业企业”连续多年荣获雪堰镇 “经济发展贡献奖” 荣获武进区和诣文化建设“三星级企业”</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截至2021年,获得实用新型专利52项, 多项产品获得省、市高新技术产品认定, 获得江苏省高新技术企业、常州市企业技术中心、常州市绿色工厂、常州市智能车间、常州市环保示范性企业</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常州市节水型企业</w:t>
      </w:r>
      <w:r>
        <w:rPr>
          <w:rFonts w:hint="eastAsia" w:ascii="Times New Roman" w:hAnsi="Times New Roman" w:cs="Times New Roman"/>
          <w:sz w:val="24"/>
          <w:szCs w:val="24"/>
        </w:rPr>
        <w:t>等荣誉。</w:t>
      </w:r>
    </w:p>
    <w:p>
      <w:pPr>
        <w:spacing w:line="360" w:lineRule="auto"/>
        <w:ind w:firstLine="480" w:firstLineChars="200"/>
        <w:rPr>
          <w:rFonts w:hint="eastAsia"/>
          <w:sz w:val="24"/>
          <w:szCs w:val="24"/>
        </w:rPr>
      </w:pPr>
      <w:r>
        <w:rPr>
          <w:rFonts w:hint="eastAsia"/>
          <w:sz w:val="24"/>
          <w:szCs w:val="24"/>
        </w:rPr>
        <w:t>公司占地</w:t>
      </w:r>
      <w:r>
        <w:rPr>
          <w:rFonts w:hint="eastAsia"/>
          <w:sz w:val="24"/>
          <w:szCs w:val="24"/>
          <w:lang w:val="en-US" w:eastAsia="zh-CN"/>
        </w:rPr>
        <w:t>5</w:t>
      </w:r>
      <w:r>
        <w:rPr>
          <w:rFonts w:hint="eastAsia"/>
          <w:sz w:val="24"/>
          <w:szCs w:val="24"/>
        </w:rPr>
        <w:t>余万平方米，现有厂房4余万平方米。企业注册资本为</w:t>
      </w:r>
      <w:r>
        <w:rPr>
          <w:rFonts w:hint="eastAsia"/>
          <w:sz w:val="24"/>
          <w:szCs w:val="24"/>
          <w:lang w:val="en-US" w:eastAsia="zh-CN"/>
        </w:rPr>
        <w:t>100</w:t>
      </w:r>
      <w:r>
        <w:rPr>
          <w:rFonts w:hint="eastAsia"/>
          <w:sz w:val="24"/>
          <w:szCs w:val="24"/>
        </w:rPr>
        <w:t>0万元，现有总资产1.6亿元。近几年来，江苏苏新已经从传统的手工造型转型升级为机械造型；从农业装备配件转型升级为汽车发动机配件的研制企业，企业经营方式已从数量增长型向效益提升型转变，通过坚持向产业链高端攀升的发展思路，加快推进产品结构调整及产业升级的战略布局，使企业处于行业最佳水平。</w:t>
      </w:r>
    </w:p>
    <w:p>
      <w:pPr>
        <w:spacing w:line="360" w:lineRule="auto"/>
        <w:ind w:firstLine="480" w:firstLineChars="200"/>
        <w:rPr>
          <w:sz w:val="24"/>
          <w:szCs w:val="24"/>
        </w:rPr>
      </w:pPr>
      <w:r>
        <w:rPr>
          <w:rFonts w:hint="eastAsia"/>
          <w:sz w:val="24"/>
          <w:szCs w:val="24"/>
        </w:rPr>
        <w:t>江苏苏新不断提升市场开拓能力，从农业机械用的外球面带座产品转型为汽车发动机用的飞轮壳产品，并开拓服务于锡柴、上柴、玉柴等主机厂飞轮壳开发项目。面对经济转型升级带来的历史机遇与挑战，公司牢牢把握发展契机，始终致力于轻量化战略定位，不断拓展铝飞轮壳在发动机行业轻量化制造行业的应用。近年来，公司依靠科技创新，立足开发新品，扩大生产规模，拓展国内外市场。</w:t>
      </w:r>
    </w:p>
    <w:p>
      <w:pPr>
        <w:spacing w:line="360" w:lineRule="auto"/>
        <w:ind w:firstLine="480" w:firstLineChars="200"/>
        <w:rPr>
          <w:sz w:val="24"/>
          <w:szCs w:val="24"/>
        </w:rPr>
      </w:pPr>
      <w:r>
        <w:rPr>
          <w:rFonts w:hint="eastAsia"/>
          <w:sz w:val="24"/>
          <w:szCs w:val="24"/>
        </w:rPr>
        <w:t>今天的江苏苏新，积淀形成了“苏新”的企业文化。公司通过自主技术创新和实施品牌战略，加快了转型升级和结构调整，把公司“SX”牌外球面带座轴承发展为全国第二大品牌转变。同时，企业经营方式已从数量增长型向效益提升型转变，通过坚持向产业链高端攀升的发展思路，将全面打造企业的核心竞争力，致力于国内外精密外球面带座轴承开发应用，成为国内外球面带座轴承制造的领跑者</w:t>
      </w:r>
    </w:p>
    <w:p>
      <w:pPr>
        <w:rPr>
          <w:rFonts w:ascii="宋体" w:hAnsi="宋体" w:cs="宋体"/>
          <w:kern w:val="0"/>
          <w:sz w:val="24"/>
          <w:szCs w:val="24"/>
        </w:rPr>
      </w:pPr>
    </w:p>
    <w:p>
      <w:pPr>
        <w:spacing w:beforeLines="50" w:afterLines="50" w:line="360" w:lineRule="auto"/>
        <w:ind w:firstLine="472" w:firstLineChars="196"/>
        <w:jc w:val="left"/>
        <w:outlineLvl w:val="0"/>
        <w:rPr>
          <w:b/>
          <w:sz w:val="24"/>
          <w:szCs w:val="24"/>
        </w:rPr>
      </w:pPr>
      <w:bookmarkStart w:id="14" w:name="_Toc8161"/>
      <w:r>
        <w:rPr>
          <w:rFonts w:hint="eastAsia"/>
          <w:b/>
          <w:sz w:val="24"/>
          <w:szCs w:val="24"/>
        </w:rPr>
        <w:t>二、经营状况</w:t>
      </w:r>
      <w:bookmarkEnd w:id="14"/>
    </w:p>
    <w:p>
      <w:pPr>
        <w:spacing w:line="480" w:lineRule="auto"/>
        <w:ind w:firstLine="480" w:firstLineChars="200"/>
        <w:rPr>
          <w:rFonts w:hint="eastAsia"/>
          <w:sz w:val="24"/>
          <w:szCs w:val="24"/>
        </w:rPr>
      </w:pPr>
      <w:r>
        <w:rPr>
          <w:rFonts w:hint="eastAsia" w:ascii="宋体" w:hAnsi="宋体"/>
          <w:sz w:val="24"/>
          <w:szCs w:val="24"/>
          <w:lang w:val="zh-CN"/>
        </w:rPr>
        <w:t>公司主营业务包括</w:t>
      </w:r>
      <w:r>
        <w:rPr>
          <w:rFonts w:hint="eastAsia"/>
          <w:sz w:val="24"/>
          <w:szCs w:val="24"/>
        </w:rPr>
        <w:t>外球面轴承座、外球面球轴承、轴承配件、柴油机配件、汽车零部件机械加工。公司主要生产精密带座外球面轴承、工程汽车发动机配件等产品。年生产铸件2万多吨，带座轴承年生产能力达550万套，各种汽车发动机用飞轮壳15万件发动机用轴承盖100多万件。公司产品性能稳定，质量可靠，生产设备先进，检测设备完善，理化检测设备齐全。产品研发和质控能力在铸造与机加工行业中处于领先水平。公司是专业生产带座外球面轴承企业，为打造一流的企业，是江苏苏新的经营模式。为此，我公司不断投入先进的设备、引进最合理的工艺，保证产品始终外于领先地位。</w:t>
      </w:r>
    </w:p>
    <w:p>
      <w:r>
        <w:drawing>
          <wp:inline distT="0" distB="0" distL="0" distR="0">
            <wp:extent cx="2762250" cy="2071370"/>
            <wp:effectExtent l="19050" t="0" r="0" b="0"/>
            <wp:docPr id="22" name="图片 4" descr="C:\Users\lenovo\AppData\Local\Temp\WeChat Files\4c02b9dde68ce3c492bb0dd4db0e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lenovo\AppData\Local\Temp\WeChat Files\4c02b9dde68ce3c492bb0dd4db0e83d.jpg"/>
                    <pic:cNvPicPr>
                      <a:picLocks noChangeAspect="1" noChangeArrowheads="1"/>
                    </pic:cNvPicPr>
                  </pic:nvPicPr>
                  <pic:blipFill>
                    <a:blip r:embed="rId5" cstate="print"/>
                    <a:srcRect/>
                    <a:stretch>
                      <a:fillRect/>
                    </a:stretch>
                  </pic:blipFill>
                  <pic:spPr>
                    <a:xfrm>
                      <a:off x="0" y="0"/>
                      <a:ext cx="2763816" cy="2072862"/>
                    </a:xfrm>
                    <a:prstGeom prst="rect">
                      <a:avLst/>
                    </a:prstGeom>
                    <a:noFill/>
                    <a:ln w="9525">
                      <a:noFill/>
                      <a:miter lim="800000"/>
                      <a:headEnd/>
                      <a:tailEnd/>
                    </a:ln>
                  </pic:spPr>
                </pic:pic>
              </a:graphicData>
            </a:graphic>
          </wp:inline>
        </w:drawing>
      </w:r>
      <w:r>
        <w:drawing>
          <wp:inline distT="0" distB="0" distL="0" distR="0">
            <wp:extent cx="2689225" cy="2016760"/>
            <wp:effectExtent l="19050" t="0" r="0" b="0"/>
            <wp:docPr id="24" name="图片 5" descr="C:\Users\lenovo\AppData\Local\Temp\WeChat Files\43a8a0f2cc7182710e410565a811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lenovo\AppData\Local\Temp\WeChat Files\43a8a0f2cc7182710e410565a811d66.jpg"/>
                    <pic:cNvPicPr>
                      <a:picLocks noChangeAspect="1" noChangeArrowheads="1"/>
                    </pic:cNvPicPr>
                  </pic:nvPicPr>
                  <pic:blipFill>
                    <a:blip r:embed="rId6" cstate="print"/>
                    <a:srcRect/>
                    <a:stretch>
                      <a:fillRect/>
                    </a:stretch>
                  </pic:blipFill>
                  <pic:spPr>
                    <a:xfrm>
                      <a:off x="0" y="0"/>
                      <a:ext cx="2687743" cy="2015808"/>
                    </a:xfrm>
                    <a:prstGeom prst="rect">
                      <a:avLst/>
                    </a:prstGeom>
                    <a:noFill/>
                    <a:ln w="9525">
                      <a:noFill/>
                      <a:miter lim="800000"/>
                      <a:headEnd/>
                      <a:tailEnd/>
                    </a:ln>
                  </pic:spPr>
                </pic:pic>
              </a:graphicData>
            </a:graphic>
          </wp:inline>
        </w:drawing>
      </w:r>
    </w:p>
    <w:p>
      <w:pPr>
        <w:spacing w:line="360" w:lineRule="auto"/>
        <w:ind w:firstLine="472" w:firstLineChars="196"/>
        <w:jc w:val="left"/>
        <w:outlineLvl w:val="0"/>
        <w:rPr>
          <w:b/>
          <w:sz w:val="24"/>
          <w:szCs w:val="24"/>
        </w:rPr>
      </w:pPr>
      <w:bookmarkStart w:id="15" w:name="_Toc522175432"/>
      <w:bookmarkStart w:id="16" w:name="_Toc22863"/>
      <w:r>
        <w:rPr>
          <w:rFonts w:hint="eastAsia"/>
          <w:b/>
          <w:sz w:val="24"/>
          <w:szCs w:val="24"/>
          <w:lang w:val="en-US" w:eastAsia="zh-CN"/>
        </w:rPr>
        <w:t>三</w:t>
      </w:r>
      <w:r>
        <w:rPr>
          <w:rFonts w:hint="eastAsia"/>
          <w:b/>
          <w:sz w:val="24"/>
          <w:szCs w:val="24"/>
        </w:rPr>
        <w:t>、技术创新</w:t>
      </w:r>
      <w:bookmarkEnd w:id="15"/>
      <w:bookmarkEnd w:id="16"/>
    </w:p>
    <w:p>
      <w:pPr>
        <w:spacing w:line="360" w:lineRule="auto"/>
        <w:ind w:firstLine="480" w:firstLineChars="200"/>
        <w:jc w:val="left"/>
        <w:outlineLvl w:val="1"/>
        <w:rPr>
          <w:rFonts w:asciiTheme="majorEastAsia" w:hAnsiTheme="majorEastAsia" w:eastAsiaTheme="majorEastAsia"/>
          <w:sz w:val="24"/>
          <w:szCs w:val="24"/>
        </w:rPr>
      </w:pPr>
      <w:bookmarkStart w:id="17" w:name="_Toc522175433"/>
      <w:bookmarkStart w:id="18" w:name="_Toc25662"/>
      <w:r>
        <w:rPr>
          <w:rFonts w:hint="eastAsia" w:asciiTheme="majorEastAsia" w:hAnsiTheme="majorEastAsia" w:eastAsiaTheme="majorEastAsia"/>
          <w:sz w:val="24"/>
          <w:szCs w:val="24"/>
        </w:rPr>
        <w:t>1、技术管理工作</w:t>
      </w:r>
      <w:bookmarkEnd w:id="17"/>
      <w:bookmarkEnd w:id="18"/>
    </w:p>
    <w:p>
      <w:pPr>
        <w:spacing w:line="360" w:lineRule="auto"/>
        <w:ind w:firstLine="496" w:firstLineChars="200"/>
        <w:rPr>
          <w:rFonts w:asciiTheme="majorEastAsia" w:hAnsiTheme="majorEastAsia" w:eastAsiaTheme="majorEastAsia"/>
          <w:spacing w:val="9"/>
          <w:sz w:val="24"/>
          <w:szCs w:val="24"/>
        </w:rPr>
      </w:pPr>
      <w:r>
        <w:rPr>
          <w:rFonts w:hint="eastAsia" w:asciiTheme="majorEastAsia" w:hAnsiTheme="majorEastAsia" w:eastAsiaTheme="majorEastAsia"/>
          <w:spacing w:val="4"/>
          <w:sz w:val="24"/>
          <w:szCs w:val="24"/>
        </w:rPr>
        <w:t>在长期发展中，江苏苏新围绕着材料、工艺、品质和市场应用等，构建起了研发团队，形成以基础研发、产品开发、市场转化为核心的、较为完备的自主研发和技术创新体系，推动了产品和技术的快速升级，并不断使研发成果及早转变为客户价值，从而树立起支撑企业持续发展的核心竞争优势。拥有了常州市企业技术中心、常州市武进区带座外球面轴承工程技术研究中心。</w:t>
      </w:r>
      <w:r>
        <w:rPr>
          <w:rFonts w:hint="eastAsia" w:asciiTheme="majorEastAsia" w:hAnsiTheme="majorEastAsia" w:eastAsiaTheme="majorEastAsia"/>
          <w:color w:val="000000"/>
          <w:sz w:val="24"/>
          <w:szCs w:val="24"/>
        </w:rPr>
        <w:t>紧跟国内外球不面带座轴承发展前沿，形成具有自身创新特点的技术研发团队为技术创新打下坚实的基础。</w:t>
      </w:r>
      <w:r>
        <w:rPr>
          <w:rFonts w:hint="eastAsia" w:asciiTheme="majorEastAsia" w:hAnsiTheme="majorEastAsia" w:eastAsiaTheme="majorEastAsia"/>
          <w:spacing w:val="9"/>
          <w:sz w:val="24"/>
          <w:szCs w:val="24"/>
        </w:rPr>
        <w:t>还建立并完善了技术管理创新体系，形成了自主创新内核，坚持走科技创新驱动的内涵式发展道路。</w:t>
      </w:r>
    </w:p>
    <w:p/>
    <w:p>
      <w:r>
        <w:rPr>
          <w:rFonts w:hint="eastAsia"/>
        </w:rPr>
        <w:t xml:space="preserve">  </w:t>
      </w:r>
      <w:r>
        <w:drawing>
          <wp:inline distT="0" distB="0" distL="0" distR="0">
            <wp:extent cx="2613025" cy="1959610"/>
            <wp:effectExtent l="19050" t="0" r="0" b="0"/>
            <wp:docPr id="13" name="图片 2" descr="C:\Users\lenovo\AppData\Local\Temp\WeChat Files\244eb0e316c2fed0d3688cd3512a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lenovo\AppData\Local\Temp\WeChat Files\244eb0e316c2fed0d3688cd3512a244.jpg"/>
                    <pic:cNvPicPr>
                      <a:picLocks noChangeAspect="1" noChangeArrowheads="1"/>
                    </pic:cNvPicPr>
                  </pic:nvPicPr>
                  <pic:blipFill>
                    <a:blip r:embed="rId7" cstate="print"/>
                    <a:srcRect/>
                    <a:stretch>
                      <a:fillRect/>
                    </a:stretch>
                  </pic:blipFill>
                  <pic:spPr>
                    <a:xfrm>
                      <a:off x="0" y="0"/>
                      <a:ext cx="2611585" cy="1958689"/>
                    </a:xfrm>
                    <a:prstGeom prst="rect">
                      <a:avLst/>
                    </a:prstGeom>
                    <a:noFill/>
                    <a:ln w="9525">
                      <a:noFill/>
                      <a:miter lim="800000"/>
                      <a:headEnd/>
                      <a:tailEnd/>
                    </a:ln>
                  </pic:spPr>
                </pic:pic>
              </a:graphicData>
            </a:graphic>
          </wp:inline>
        </w:drawing>
      </w:r>
      <w:r>
        <w:drawing>
          <wp:inline distT="0" distB="0" distL="0" distR="0">
            <wp:extent cx="2765425" cy="1933575"/>
            <wp:effectExtent l="19050" t="0" r="0" b="0"/>
            <wp:docPr id="16" name="图片 3" descr="C:\Users\lenovo\AppData\Local\Temp\15625687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lenovo\AppData\Local\Temp\1562568707(1).png"/>
                    <pic:cNvPicPr>
                      <a:picLocks noChangeAspect="1" noChangeArrowheads="1"/>
                    </pic:cNvPicPr>
                  </pic:nvPicPr>
                  <pic:blipFill>
                    <a:blip r:embed="rId8" cstate="print"/>
                    <a:srcRect/>
                    <a:stretch>
                      <a:fillRect/>
                    </a:stretch>
                  </pic:blipFill>
                  <pic:spPr>
                    <a:xfrm>
                      <a:off x="0" y="0"/>
                      <a:ext cx="2766874" cy="1934362"/>
                    </a:xfrm>
                    <a:prstGeom prst="rect">
                      <a:avLst/>
                    </a:prstGeom>
                    <a:noFill/>
                    <a:ln w="9525">
                      <a:noFill/>
                      <a:miter lim="800000"/>
                      <a:headEnd/>
                      <a:tailEnd/>
                    </a:ln>
                  </pic:spPr>
                </pic:pic>
              </a:graphicData>
            </a:graphic>
          </wp:inline>
        </w:drawing>
      </w:r>
    </w:p>
    <w:p/>
    <w:p>
      <w:pPr>
        <w:widowControl/>
        <w:jc w:val="left"/>
        <w:rPr>
          <w:rFonts w:ascii="宋体" w:hAnsi="宋体" w:cs="宋体"/>
          <w:kern w:val="0"/>
          <w:sz w:val="24"/>
          <w:szCs w:val="24"/>
        </w:rPr>
      </w:pPr>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江苏苏新以坚持技术创新，持续加大研发投入，大力推进体系能力建设，积极探索机制和管理创新。广泛开展技术创新活动，通过技术中心研发、产线自主集成和产业化过程中不断生产实践、创新探索，拥有一批具有自主知识产权的技术和成果，为北汽福田、锡柴、上柴、玉柴提供优质的配套产品，并形成产品批量供货能力。开发了球铁飞轮壳、齿轮室罩盖飞轮壳、铸铝飞轮壳、滚轮轴承、双球面轴承座、外球面轴承、方孔带顶丝外球面轴承、高转速外球面轴承、全密封外球面轴承座等产品处于国内领先水平，尤其铝飞轮壳产品核心关键工艺技术，促进企业核心竞争力快速提升，使企业走在国内行业最前列。，提升飞轮壳制造水平，满足主机厂轻量化工程的需求，为企业经济转型、产业结构调整、绿色能源环保起到基础性保障作用。</w:t>
      </w:r>
    </w:p>
    <w:p>
      <w:pPr>
        <w:spacing w:line="360" w:lineRule="auto"/>
        <w:ind w:firstLine="480" w:firstLineChars="200"/>
        <w:rPr>
          <w:rFonts w:ascii="宋体" w:hAnsi="宋体" w:cs="宋体"/>
          <w:kern w:val="0"/>
          <w:sz w:val="24"/>
          <w:szCs w:val="24"/>
        </w:rPr>
      </w:pPr>
      <w:r>
        <w:rPr>
          <w:rFonts w:ascii="宋体" w:hAnsi="宋体" w:cs="宋体"/>
          <w:kern w:val="0"/>
          <w:sz w:val="24"/>
          <w:szCs w:val="24"/>
        </w:rPr>
        <w:drawing>
          <wp:inline distT="0" distB="0" distL="0" distR="0">
            <wp:extent cx="5759450" cy="1608455"/>
            <wp:effectExtent l="19050" t="0" r="0" b="0"/>
            <wp:docPr id="34" name="图片 9" descr="C:\Users\lenovo\AppData\Local\Temp\1562569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lenovo\AppData\Local\Temp\1562569665(1).png"/>
                    <pic:cNvPicPr>
                      <a:picLocks noChangeAspect="1" noChangeArrowheads="1"/>
                    </pic:cNvPicPr>
                  </pic:nvPicPr>
                  <pic:blipFill>
                    <a:blip r:embed="rId9" cstate="print"/>
                    <a:srcRect/>
                    <a:stretch>
                      <a:fillRect/>
                    </a:stretch>
                  </pic:blipFill>
                  <pic:spPr>
                    <a:xfrm>
                      <a:off x="0" y="0"/>
                      <a:ext cx="5759450" cy="1608838"/>
                    </a:xfrm>
                    <a:prstGeom prst="rect">
                      <a:avLst/>
                    </a:prstGeom>
                    <a:noFill/>
                    <a:ln w="9525">
                      <a:noFill/>
                      <a:miter lim="800000"/>
                      <a:headEnd/>
                      <a:tailEnd/>
                    </a:ln>
                  </pic:spPr>
                </pic:pic>
              </a:graphicData>
            </a:graphic>
          </wp:inline>
        </w:drawing>
      </w:r>
    </w:p>
    <w:p>
      <w:pPr>
        <w:ind w:firstLine="480" w:firstLineChars="200"/>
        <w:rPr>
          <w:sz w:val="24"/>
        </w:rPr>
      </w:pPr>
      <w:r>
        <w:rPr>
          <w:sz w:val="24"/>
        </w:rPr>
        <w:drawing>
          <wp:inline distT="0" distB="0" distL="0" distR="0">
            <wp:extent cx="5476875" cy="1581150"/>
            <wp:effectExtent l="19050" t="0" r="9525" b="0"/>
            <wp:docPr id="35" name="图片 10" descr="C:\Users\lenovo\AppData\Local\Temp\15625697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C:\Users\lenovo\AppData\Local\Temp\1562569704(1).png"/>
                    <pic:cNvPicPr>
                      <a:picLocks noChangeAspect="1" noChangeArrowheads="1"/>
                    </pic:cNvPicPr>
                  </pic:nvPicPr>
                  <pic:blipFill>
                    <a:blip r:embed="rId10" cstate="print"/>
                    <a:srcRect/>
                    <a:stretch>
                      <a:fillRect/>
                    </a:stretch>
                  </pic:blipFill>
                  <pic:spPr>
                    <a:xfrm>
                      <a:off x="0" y="0"/>
                      <a:ext cx="5476875" cy="1581150"/>
                    </a:xfrm>
                    <a:prstGeom prst="rect">
                      <a:avLst/>
                    </a:prstGeom>
                    <a:noFill/>
                    <a:ln w="9525">
                      <a:noFill/>
                      <a:miter lim="800000"/>
                      <a:headEnd/>
                      <a:tailEnd/>
                    </a:ln>
                  </pic:spPr>
                </pic:pic>
              </a:graphicData>
            </a:graphic>
          </wp:inline>
        </w:drawing>
      </w:r>
    </w:p>
    <w:p>
      <w:pPr>
        <w:ind w:firstLine="480" w:firstLineChars="200"/>
        <w:rPr>
          <w:sz w:val="24"/>
        </w:rPr>
      </w:pPr>
      <w:r>
        <w:rPr>
          <w:sz w:val="24"/>
        </w:rPr>
        <w:drawing>
          <wp:inline distT="0" distB="0" distL="0" distR="0">
            <wp:extent cx="5648325" cy="1628775"/>
            <wp:effectExtent l="19050" t="0" r="9525" b="0"/>
            <wp:docPr id="36" name="图片 11" descr="C:\Users\lenovo\AppData\Local\Temp\15625697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C:\Users\lenovo\AppData\Local\Temp\1562569739(1).png"/>
                    <pic:cNvPicPr>
                      <a:picLocks noChangeAspect="1" noChangeArrowheads="1"/>
                    </pic:cNvPicPr>
                  </pic:nvPicPr>
                  <pic:blipFill>
                    <a:blip r:embed="rId11" cstate="print"/>
                    <a:srcRect/>
                    <a:stretch>
                      <a:fillRect/>
                    </a:stretch>
                  </pic:blipFill>
                  <pic:spPr>
                    <a:xfrm>
                      <a:off x="0" y="0"/>
                      <a:ext cx="5648325" cy="1628775"/>
                    </a:xfrm>
                    <a:prstGeom prst="rect">
                      <a:avLst/>
                    </a:prstGeom>
                    <a:noFill/>
                    <a:ln w="9525">
                      <a:noFill/>
                      <a:miter lim="800000"/>
                      <a:headEnd/>
                      <a:tailEnd/>
                    </a:ln>
                  </pic:spPr>
                </pic:pic>
              </a:graphicData>
            </a:graphic>
          </wp:inline>
        </w:drawing>
      </w:r>
    </w:p>
    <w:p>
      <w:pPr>
        <w:rPr>
          <w:sz w:val="24"/>
          <w:szCs w:val="24"/>
        </w:rPr>
      </w:pPr>
    </w:p>
    <w:p>
      <w:pPr>
        <w:spacing w:line="360" w:lineRule="auto"/>
        <w:ind w:firstLine="482" w:firstLineChars="200"/>
        <w:outlineLvl w:val="1"/>
        <w:rPr>
          <w:rFonts w:ascii="宋体" w:hAnsi="宋体" w:cs="宋体"/>
          <w:kern w:val="0"/>
          <w:sz w:val="24"/>
          <w:szCs w:val="24"/>
        </w:rPr>
      </w:pPr>
      <w:bookmarkStart w:id="19" w:name="_Toc522175434"/>
      <w:bookmarkStart w:id="20" w:name="_Toc6135"/>
      <w:r>
        <w:rPr>
          <w:rFonts w:hint="eastAsia" w:ascii="宋体" w:hAnsi="宋体" w:cs="宋体"/>
          <w:b/>
          <w:kern w:val="0"/>
          <w:sz w:val="24"/>
          <w:szCs w:val="24"/>
        </w:rPr>
        <w:t>2、研发团队</w:t>
      </w:r>
      <w:bookmarkEnd w:id="19"/>
      <w:bookmarkEnd w:id="20"/>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鼓励技术创新，加快人才培养，实行开放管理和人员流动机制，始终保持高效、精干的队伍，技术中心全员实行聘任制，采取有效绩效考核和激励机制，充分调动开发人员积极性。公司还加大人才发展投入力度，完善人才评价体系，把企业打造成人才集聚高地。与此同时，从科研到开发设计、检测及应用开发和产业化生产逐步形成一支门类齐全、结构合理、一流水平的人才队伍。通过产学研平台，招聘及引进国内科技人员，对新材料、新工艺、新技术、新装备等研究，培养和造就多名科研带头人。在人才建设过程中，始终秉承“以人为本”的用人理念，做好人才培养与开发的充分结合，视人才为企业发展的源动力，长期全心致力于营造一个吸引、培育和成就创新型人才的企业长效机制。</w:t>
      </w:r>
    </w:p>
    <w:p>
      <w:pPr>
        <w:rPr>
          <w:rFonts w:ascii="宋体" w:hAnsi="宋体" w:cs="宋体"/>
          <w:kern w:val="0"/>
          <w:szCs w:val="21"/>
        </w:rPr>
      </w:pPr>
      <w:r>
        <w:rPr>
          <w:rFonts w:hint="eastAsia" w:ascii="宋体" w:hAnsi="宋体" w:cs="宋体"/>
          <w:kern w:val="0"/>
          <w:szCs w:val="21"/>
        </w:rPr>
        <w:t xml:space="preserve"> </w:t>
      </w:r>
      <w:r>
        <w:rPr>
          <w:rFonts w:ascii="宋体" w:hAnsi="宋体" w:cs="宋体"/>
          <w:kern w:val="0"/>
          <w:szCs w:val="21"/>
        </w:rPr>
        <w:drawing>
          <wp:inline distT="0" distB="0" distL="0" distR="0">
            <wp:extent cx="2144395" cy="2859405"/>
            <wp:effectExtent l="381000" t="0" r="350627" b="0"/>
            <wp:docPr id="37" name="图片 12" descr="C:\Users\lenovo\AppData\Local\Temp\WeChat Files\caece7f5953f8c296bf338dc30f1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lenovo\AppData\Local\Temp\WeChat Files\caece7f5953f8c296bf338dc30f1e47.jpg"/>
                    <pic:cNvPicPr>
                      <a:picLocks noChangeAspect="1" noChangeArrowheads="1"/>
                    </pic:cNvPicPr>
                  </pic:nvPicPr>
                  <pic:blipFill>
                    <a:blip r:embed="rId12" cstate="print"/>
                    <a:srcRect/>
                    <a:stretch>
                      <a:fillRect/>
                    </a:stretch>
                  </pic:blipFill>
                  <pic:spPr>
                    <a:xfrm rot="16200000">
                      <a:off x="0" y="0"/>
                      <a:ext cx="2151304" cy="2868403"/>
                    </a:xfrm>
                    <a:prstGeom prst="rect">
                      <a:avLst/>
                    </a:prstGeom>
                    <a:noFill/>
                    <a:ln w="9525">
                      <a:noFill/>
                      <a:miter lim="800000"/>
                      <a:headEnd/>
                      <a:tailEnd/>
                    </a:ln>
                  </pic:spPr>
                </pic:pic>
              </a:graphicData>
            </a:graphic>
          </wp:inline>
        </w:drawing>
      </w:r>
      <w:r>
        <w:rPr>
          <w:rFonts w:ascii="宋体" w:hAnsi="宋体" w:cs="宋体"/>
          <w:kern w:val="0"/>
          <w:szCs w:val="21"/>
        </w:rPr>
        <w:drawing>
          <wp:inline distT="0" distB="0" distL="0" distR="0">
            <wp:extent cx="2095500" cy="2794635"/>
            <wp:effectExtent l="361950" t="0" r="342371" b="0"/>
            <wp:docPr id="38" name="图片 13" descr="C:\Users\lenovo\AppData\Local\Temp\WeChat Files\90bfb152148da4f21c796625afa1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C:\Users\lenovo\AppData\Local\Temp\WeChat Files\90bfb152148da4f21c796625afa154a.jpg"/>
                    <pic:cNvPicPr>
                      <a:picLocks noChangeAspect="1" noChangeArrowheads="1"/>
                    </pic:cNvPicPr>
                  </pic:nvPicPr>
                  <pic:blipFill>
                    <a:blip r:embed="rId13" cstate="print"/>
                    <a:srcRect/>
                    <a:stretch>
                      <a:fillRect/>
                    </a:stretch>
                  </pic:blipFill>
                  <pic:spPr>
                    <a:xfrm rot="16200000">
                      <a:off x="0" y="0"/>
                      <a:ext cx="2096607" cy="27954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通过各类科研项目的实施，形成了外球面带座轴承方面关键技术的研发专业团队。同时充分发挥产学研优势，加强专业培训和发挥“名师带徒”的经验传承与共享载体，把培养造就青年人才队伍作为战略任务，逐步使青年科研人员成为江苏苏新未来发展的中坚力量。与此同时，公司在科研管理机制上遵循科研规律，以简化申请程序、优化经费管理、合理绩效考核和容错机制为抓手，通过深化科技评价，注重科技创新质量和实际贡献，形成正确的科研导向和激励机制，为科研人员自由探索、潜心研究创造良好环境。</w:t>
      </w:r>
      <w:bookmarkStart w:id="21" w:name="_Toc522175435"/>
    </w:p>
    <w:p>
      <w:pPr>
        <w:spacing w:line="360" w:lineRule="auto"/>
        <w:ind w:firstLine="482" w:firstLineChars="200"/>
        <w:outlineLvl w:val="1"/>
        <w:rPr>
          <w:rFonts w:ascii="宋体" w:hAnsi="宋体" w:cs="宋体"/>
          <w:b/>
          <w:kern w:val="0"/>
          <w:sz w:val="24"/>
          <w:szCs w:val="24"/>
        </w:rPr>
      </w:pPr>
      <w:bookmarkStart w:id="22" w:name="_Toc20651"/>
      <w:r>
        <w:rPr>
          <w:rFonts w:hint="eastAsia"/>
          <w:b/>
          <w:sz w:val="24"/>
          <w:szCs w:val="24"/>
        </w:rPr>
        <w:t>3、知识产权工作</w:t>
      </w:r>
      <w:bookmarkEnd w:id="21"/>
      <w:bookmarkEnd w:id="22"/>
    </w:p>
    <w:p>
      <w:pPr>
        <w:spacing w:line="360" w:lineRule="auto"/>
        <w:ind w:firstLine="480" w:firstLineChars="200"/>
        <w:rPr>
          <w:rFonts w:eastAsiaTheme="minorEastAsia"/>
          <w:sz w:val="24"/>
          <w:szCs w:val="24"/>
        </w:rPr>
      </w:pPr>
      <w:r>
        <w:rPr>
          <w:rFonts w:hint="eastAsia" w:eastAsiaTheme="minorEastAsia"/>
          <w:sz w:val="24"/>
          <w:szCs w:val="24"/>
        </w:rPr>
        <w:t>多年来，瞄准精密外球面带座轴承产品发展前沿，在精密轴承研发、生产工艺方面拥有了多项自主知识产权的核心技术。获</w:t>
      </w:r>
      <w:r>
        <w:rPr>
          <w:rFonts w:hint="eastAsia" w:eastAsiaTheme="minorEastAsia"/>
          <w:sz w:val="24"/>
          <w:szCs w:val="24"/>
          <w:lang w:val="en-US" w:eastAsia="zh-CN"/>
        </w:rPr>
        <w:t>52</w:t>
      </w:r>
      <w:r>
        <w:rPr>
          <w:rFonts w:hint="eastAsia" w:eastAsiaTheme="minorEastAsia"/>
          <w:sz w:val="24"/>
          <w:szCs w:val="24"/>
        </w:rPr>
        <w:t>项专利，充分彰显了江苏苏新在国内外球面带座轴承行业的领先地位和主导作用，在外球面轴承行业赢得了话语权。</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江苏苏新十分重视知识产权工作，国内注册了1件商标。其中：“SUXIN”作为公司的主打品牌，受到公司上下的严格管理和广泛宣传。近几年来通过各种报刊杂志、网站进行商标宣传，同时携“SUXIN”牌产品积极参加行业展会，有效地拓宽了销售区域，提升了品牌知名度。还大力整合公司的技术、管理、文化、营销和创新等优势，提升公司商标的知名度和美誉度；开展产学研联合和自主研发，提升品牌技术内涵；改进和完善质量监控、计量检测、标准管理等制度，夯实品牌质量基础；继续坚持向产业链高端攀升的发展思路，加大技术创新，提升产品质量、培育企业文化、推进产品结构调整和产业升级的战略布局、开展特色营销传播等手段，使公司走上品牌化、规模化之路。公司还通过一系列国内外公司的认证，如:SNR、NTN、PTI、TR等国际知名公司认证进入世界外球面带座轴承行业主流供应商体系，由此获得了参与全球项目的资质，不断提高自主品牌产品出口比重。逐步把公司的创新优势和产品质量优势转化为品牌价值优势，不断提升自主品牌的国际影响力，不断扩大国际市场份额。使品牌效应逐步彰显。</w:t>
      </w:r>
    </w:p>
    <w:p>
      <w:pPr>
        <w:spacing w:line="360" w:lineRule="auto"/>
        <w:ind w:firstLine="472" w:firstLineChars="196"/>
        <w:outlineLvl w:val="0"/>
        <w:rPr>
          <w:rFonts w:ascii="宋体" w:hAnsi="宋体" w:cs="宋体"/>
          <w:b/>
          <w:kern w:val="0"/>
          <w:sz w:val="24"/>
          <w:szCs w:val="24"/>
        </w:rPr>
      </w:pPr>
      <w:bookmarkStart w:id="23" w:name="_Toc522175436"/>
      <w:bookmarkStart w:id="24" w:name="_Toc30371"/>
      <w:r>
        <w:rPr>
          <w:rFonts w:hint="eastAsia" w:ascii="宋体" w:hAnsi="宋体" w:cs="宋体"/>
          <w:b/>
          <w:kern w:val="0"/>
          <w:sz w:val="24"/>
          <w:szCs w:val="24"/>
          <w:lang w:val="en-US" w:eastAsia="zh-CN"/>
        </w:rPr>
        <w:t>四</w:t>
      </w:r>
      <w:r>
        <w:rPr>
          <w:rFonts w:hint="eastAsia" w:ascii="宋体" w:hAnsi="宋体" w:cs="宋体"/>
          <w:b/>
          <w:kern w:val="0"/>
          <w:sz w:val="24"/>
          <w:szCs w:val="24"/>
        </w:rPr>
        <w:t>、信用建设</w:t>
      </w:r>
      <w:bookmarkEnd w:id="23"/>
      <w:bookmarkEnd w:id="24"/>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江苏苏新被常州市评为 “重合同，守信用”企业，已建立强有力的制度约束和“苏新”企业文化渗透，将先进信用管理理念转变为全体员工的共识，增强信用建设的凝聚力和向心力，向社会展示公司的诚信品质。还对照标准，改进提升。严格按照企业信用体系建设的目标任务，全力推进信用管理工作。动员组织全公司员工全面开展信用管理贯标，建立健全公司信用管理体系；围绕公司在生产经营中的守信要求，以销售为起点以点带面，引领广大员工持续扎实开展信用贯标建设。落实四个要点：一是工作安排有突出位置。公司高层十分重视信用管理工作，把这项工作作为企业经营管理的重中之重，及时有效地解决突出问题。二是推进工作有组织架构。建立健全信用管理组织体系，明确信用管理的职能部门并配备专业人员，成立了信用管理机构，并充分发挥其负责人到各个职能部门、直至全体员工的管理，切实加强公司的经营、法律、风险、权益和责任的管控，提高可持续发展能力。三是规范行为有制度规章。建立健全以客户资信管理为基础、风险防范为核心的一系列信用管理制度，建立客户信用档案数据库，运用信息技术固化制度执行程序，形成闭环式的激励和惩戒机制，确保各项制度措施落实到位。四是全程把控有长效措施。不断强化客户资信管理、信用档案管理、客户授信管理、合同管理、商账管理等各项信用管理工作，合理利用外部信息和服务，使信用管理的理念和措施渗透到公司经营管理各个方面，落实到人财物、产供销、研技服全流程。公司先后获得了常州市“守合同重信用企业”， “常州市创建和谐劳动关系先进企业”等称号</w:t>
      </w:r>
    </w:p>
    <w:p>
      <w:pPr>
        <w:spacing w:line="360" w:lineRule="auto"/>
        <w:ind w:firstLine="480" w:firstLineChars="200"/>
        <w:rPr>
          <w:rFonts w:hint="eastAsia" w:ascii="宋体" w:hAnsi="宋体" w:cs="宋体"/>
          <w:kern w:val="0"/>
          <w:sz w:val="24"/>
          <w:szCs w:val="24"/>
        </w:rPr>
      </w:pPr>
      <w:r>
        <w:rPr>
          <w:rFonts w:ascii="宋体" w:hAnsi="宋体" w:cs="宋体"/>
          <w:kern w:val="0"/>
          <w:sz w:val="24"/>
          <w:szCs w:val="24"/>
        </w:rPr>
        <w:drawing>
          <wp:inline distT="0" distB="0" distL="0" distR="0">
            <wp:extent cx="2000250" cy="2667000"/>
            <wp:effectExtent l="19050" t="0" r="0" b="0"/>
            <wp:docPr id="39" name="图片 14" descr="C:\Users\lenovo\AppData\Local\Temp\WeChat Files\07d89353095a575e4086c6e7186e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C:\Users\lenovo\AppData\Local\Temp\WeChat Files\07d89353095a575e4086c6e7186e94b.jpg"/>
                    <pic:cNvPicPr>
                      <a:picLocks noChangeAspect="1" noChangeArrowheads="1"/>
                    </pic:cNvPicPr>
                  </pic:nvPicPr>
                  <pic:blipFill>
                    <a:blip r:embed="rId14" cstate="print"/>
                    <a:srcRect/>
                    <a:stretch>
                      <a:fillRect/>
                    </a:stretch>
                  </pic:blipFill>
                  <pic:spPr>
                    <a:xfrm>
                      <a:off x="0" y="0"/>
                      <a:ext cx="2000801" cy="2667735"/>
                    </a:xfrm>
                    <a:prstGeom prst="rect">
                      <a:avLst/>
                    </a:prstGeom>
                    <a:noFill/>
                    <a:ln w="9525">
                      <a:noFill/>
                      <a:miter lim="800000"/>
                      <a:headEnd/>
                      <a:tailEnd/>
                    </a:ln>
                  </pic:spPr>
                </pic:pic>
              </a:graphicData>
            </a:graphic>
          </wp:inline>
        </w:drawing>
      </w:r>
      <w:r>
        <w:rPr>
          <w:rFonts w:ascii="宋体" w:hAnsi="宋体" w:cs="宋体"/>
          <w:kern w:val="0"/>
          <w:sz w:val="24"/>
          <w:szCs w:val="24"/>
        </w:rPr>
        <w:drawing>
          <wp:inline distT="0" distB="0" distL="0" distR="0">
            <wp:extent cx="2625725" cy="1969135"/>
            <wp:effectExtent l="19050" t="0" r="3175" b="0"/>
            <wp:docPr id="40" name="图片 15" descr="C:\Users\lenovo\AppData\Local\Temp\WeChat Files\1b6f016406a0d4fc9326a9efd6eb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C:\Users\lenovo\AppData\Local\Temp\WeChat Files\1b6f016406a0d4fc9326a9efd6eb146.jpg"/>
                    <pic:cNvPicPr>
                      <a:picLocks noChangeAspect="1" noChangeArrowheads="1"/>
                    </pic:cNvPicPr>
                  </pic:nvPicPr>
                  <pic:blipFill>
                    <a:blip r:embed="rId15" cstate="print"/>
                    <a:srcRect/>
                    <a:stretch>
                      <a:fillRect/>
                    </a:stretch>
                  </pic:blipFill>
                  <pic:spPr>
                    <a:xfrm>
                      <a:off x="0" y="0"/>
                      <a:ext cx="2624278" cy="196820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s="宋体"/>
          <w:kern w:val="0"/>
          <w:sz w:val="24"/>
          <w:szCs w:val="24"/>
        </w:rPr>
      </w:pPr>
      <w:r>
        <w:rPr>
          <w:rFonts w:ascii="宋体" w:hAnsi="宋体" w:cs="宋体"/>
          <w:kern w:val="0"/>
          <w:sz w:val="24"/>
          <w:szCs w:val="24"/>
        </w:rPr>
        <w:drawing>
          <wp:inline distT="0" distB="0" distL="0" distR="0">
            <wp:extent cx="2425700" cy="1819275"/>
            <wp:effectExtent l="19050" t="0" r="0" b="0"/>
            <wp:docPr id="41" name="图片 16" descr="C:\Users\lenovo\AppData\Local\Temp\WeChat Files\36a664f3b6bc0041c03010470cf2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Users\lenovo\AppData\Local\Temp\WeChat Files\36a664f3b6bc0041c03010470cf2b00.jpg"/>
                    <pic:cNvPicPr>
                      <a:picLocks noChangeAspect="1" noChangeArrowheads="1"/>
                    </pic:cNvPicPr>
                  </pic:nvPicPr>
                  <pic:blipFill>
                    <a:blip r:embed="rId16" cstate="print"/>
                    <a:srcRect/>
                    <a:stretch>
                      <a:fillRect/>
                    </a:stretch>
                  </pic:blipFill>
                  <pic:spPr>
                    <a:xfrm>
                      <a:off x="0" y="0"/>
                      <a:ext cx="2424363" cy="1818272"/>
                    </a:xfrm>
                    <a:prstGeom prst="rect">
                      <a:avLst/>
                    </a:prstGeom>
                    <a:noFill/>
                    <a:ln w="9525">
                      <a:noFill/>
                      <a:miter lim="800000"/>
                      <a:headEnd/>
                      <a:tailEnd/>
                    </a:ln>
                  </pic:spPr>
                </pic:pic>
              </a:graphicData>
            </a:graphic>
          </wp:inline>
        </w:drawing>
      </w:r>
      <w:r>
        <w:rPr>
          <w:rFonts w:ascii="宋体" w:hAnsi="宋体" w:cs="宋体"/>
          <w:kern w:val="0"/>
          <w:sz w:val="24"/>
          <w:szCs w:val="24"/>
        </w:rPr>
        <w:drawing>
          <wp:inline distT="0" distB="0" distL="0" distR="0">
            <wp:extent cx="2590800" cy="1943100"/>
            <wp:effectExtent l="19050" t="0" r="0" b="0"/>
            <wp:docPr id="42" name="图片 17" descr="C:\Users\lenovo\AppData\Local\Temp\WeChat Files\67a8ea54b7029ce1129b7f43260c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C:\Users\lenovo\AppData\Local\Temp\WeChat Files\67a8ea54b7029ce1129b7f43260c1b6.jpg"/>
                    <pic:cNvPicPr>
                      <a:picLocks noChangeAspect="1" noChangeArrowheads="1"/>
                    </pic:cNvPicPr>
                  </pic:nvPicPr>
                  <pic:blipFill>
                    <a:blip r:embed="rId17" cstate="print"/>
                    <a:srcRect/>
                    <a:stretch>
                      <a:fillRect/>
                    </a:stretch>
                  </pic:blipFill>
                  <pic:spPr>
                    <a:xfrm>
                      <a:off x="0" y="0"/>
                      <a:ext cx="2592434" cy="1944325"/>
                    </a:xfrm>
                    <a:prstGeom prst="rect">
                      <a:avLst/>
                    </a:prstGeom>
                    <a:noFill/>
                    <a:ln w="9525">
                      <a:noFill/>
                      <a:miter lim="800000"/>
                      <a:headEnd/>
                      <a:tailEnd/>
                    </a:ln>
                  </pic:spPr>
                </pic:pic>
              </a:graphicData>
            </a:graphic>
          </wp:inline>
        </w:drawing>
      </w:r>
    </w:p>
    <w:p>
      <w:pPr>
        <w:rPr>
          <w:rFonts w:ascii="宋体" w:hAnsi="宋体" w:cs="宋体"/>
          <w:kern w:val="0"/>
          <w:sz w:val="24"/>
          <w:szCs w:val="24"/>
        </w:rPr>
      </w:pPr>
    </w:p>
    <w:p>
      <w:pPr>
        <w:jc w:val="center"/>
        <w:rPr>
          <w:rFonts w:ascii="宋体" w:hAnsi="宋体" w:cs="宋体"/>
          <w:kern w:val="0"/>
          <w:sz w:val="24"/>
          <w:szCs w:val="24"/>
        </w:rPr>
      </w:pPr>
    </w:p>
    <w:p>
      <w:pPr>
        <w:spacing w:line="360" w:lineRule="auto"/>
        <w:ind w:firstLine="472" w:firstLineChars="196"/>
        <w:outlineLvl w:val="0"/>
        <w:rPr>
          <w:rFonts w:hint="default" w:ascii="宋体" w:hAnsi="宋体" w:eastAsia="宋体" w:cs="宋体"/>
          <w:b/>
          <w:kern w:val="0"/>
          <w:sz w:val="24"/>
          <w:szCs w:val="24"/>
          <w:lang w:val="en-US" w:eastAsia="zh-CN"/>
        </w:rPr>
      </w:pPr>
      <w:bookmarkStart w:id="25" w:name="_Toc522175437"/>
      <w:bookmarkStart w:id="26" w:name="_Toc29044"/>
      <w:r>
        <w:rPr>
          <w:rFonts w:hint="eastAsia" w:ascii="宋体" w:hAnsi="宋体" w:cs="宋体"/>
          <w:b/>
          <w:kern w:val="0"/>
          <w:sz w:val="24"/>
          <w:szCs w:val="24"/>
          <w:lang w:val="en-US" w:eastAsia="zh-CN"/>
        </w:rPr>
        <w:t>五</w:t>
      </w:r>
      <w:r>
        <w:rPr>
          <w:rFonts w:hint="eastAsia" w:ascii="宋体" w:hAnsi="宋体" w:cs="宋体"/>
          <w:b/>
          <w:kern w:val="0"/>
          <w:sz w:val="24"/>
          <w:szCs w:val="24"/>
        </w:rPr>
        <w:t>、环保节约</w:t>
      </w:r>
      <w:bookmarkEnd w:id="25"/>
      <w:r>
        <w:rPr>
          <w:rFonts w:hint="eastAsia" w:ascii="宋体" w:hAnsi="宋体" w:cs="宋体"/>
          <w:b/>
          <w:kern w:val="0"/>
          <w:sz w:val="24"/>
          <w:szCs w:val="24"/>
          <w:lang w:val="en-US" w:eastAsia="zh-CN"/>
        </w:rPr>
        <w:t>与低碳运营</w:t>
      </w:r>
      <w:bookmarkEnd w:id="26"/>
    </w:p>
    <w:p>
      <w:pPr>
        <w:spacing w:line="360" w:lineRule="auto"/>
        <w:ind w:firstLine="472" w:firstLineChars="196"/>
        <w:outlineLvl w:val="1"/>
        <w:rPr>
          <w:rFonts w:ascii="宋体" w:hAnsi="宋体" w:cs="宋体"/>
          <w:b/>
          <w:kern w:val="0"/>
          <w:sz w:val="24"/>
          <w:szCs w:val="24"/>
        </w:rPr>
      </w:pPr>
      <w:bookmarkStart w:id="27" w:name="_Toc522175438"/>
      <w:bookmarkStart w:id="28" w:name="_Toc25607"/>
      <w:r>
        <w:rPr>
          <w:rFonts w:hint="eastAsia" w:ascii="宋体" w:hAnsi="宋体" w:cs="宋体"/>
          <w:b/>
          <w:kern w:val="0"/>
          <w:sz w:val="24"/>
          <w:szCs w:val="24"/>
        </w:rPr>
        <w:t>1、环境管理</w:t>
      </w:r>
      <w:bookmarkEnd w:id="27"/>
      <w:bookmarkEnd w:id="28"/>
    </w:p>
    <w:p>
      <w:pPr>
        <w:spacing w:line="360" w:lineRule="auto"/>
        <w:ind w:firstLine="360" w:firstLineChars="150"/>
        <w:rPr>
          <w:rFonts w:ascii="宋体" w:hAnsi="宋体" w:cs="宋体"/>
          <w:kern w:val="0"/>
          <w:sz w:val="24"/>
          <w:szCs w:val="24"/>
        </w:rPr>
      </w:pPr>
      <w:r>
        <w:rPr>
          <w:rFonts w:hint="eastAsia" w:ascii="宋体" w:hAnsi="宋体" w:cs="宋体"/>
          <w:kern w:val="0"/>
          <w:sz w:val="24"/>
          <w:szCs w:val="24"/>
        </w:rPr>
        <w:t>公司于通过了ISO14000环境管理体系认证，和ISO</w:t>
      </w:r>
      <w:r>
        <w:rPr>
          <w:rFonts w:hint="eastAsia" w:ascii="宋体" w:hAnsi="宋体" w:cs="宋体"/>
          <w:kern w:val="0"/>
          <w:sz w:val="24"/>
          <w:szCs w:val="24"/>
          <w:lang w:val="en-US" w:eastAsia="zh-CN"/>
        </w:rPr>
        <w:t>45</w:t>
      </w:r>
      <w:r>
        <w:rPr>
          <w:rFonts w:hint="eastAsia" w:ascii="宋体" w:hAnsi="宋体" w:cs="宋体"/>
          <w:kern w:val="0"/>
          <w:sz w:val="24"/>
          <w:szCs w:val="24"/>
        </w:rPr>
        <w:t>001职业健康安全管理体系增强了环境管理和员工职业健康安全的管理能力。建立专门的管理机构，健全完善环境管理制度并纳入正常管理，记录环保设施的运行数据并建立环保档案。建立和完善环境污染事故应急预案，并定期组织演练。加强生产技术和设备管理，充分利用好各种资源、能源，提高原材料、能源利用率。</w:t>
      </w:r>
      <w:r>
        <w:rPr>
          <w:rFonts w:hint="eastAsia"/>
          <w:sz w:val="24"/>
        </w:rPr>
        <w:t>对废物综合利用方面，适应资源的减量化、再利用、资源化的循环经济理念，建立起“资源-生产-产品-消费-废弃物再利用”的循环经济体系，以企业的小循环来促进社会的大循环，形成了环境保护的长效管理机制，环境状况得到显著改善。</w:t>
      </w:r>
      <w:r>
        <w:rPr>
          <w:rFonts w:hint="eastAsia" w:ascii="宋体" w:hAnsi="宋体" w:cs="宋体"/>
          <w:kern w:val="0"/>
          <w:sz w:val="24"/>
          <w:szCs w:val="24"/>
        </w:rPr>
        <w:t>对重要环境因素和不可接收危险源点进行重点管控，遵纪守法，全年无安全、环保事故的发生。</w:t>
      </w:r>
    </w:p>
    <w:p>
      <w:pPr>
        <w:spacing w:line="360" w:lineRule="auto"/>
        <w:ind w:firstLine="472" w:firstLineChars="196"/>
        <w:outlineLvl w:val="1"/>
        <w:rPr>
          <w:rFonts w:ascii="宋体" w:hAnsi="宋体" w:cs="宋体"/>
          <w:b/>
          <w:kern w:val="0"/>
          <w:sz w:val="24"/>
          <w:szCs w:val="24"/>
        </w:rPr>
      </w:pPr>
      <w:bookmarkStart w:id="29" w:name="_Toc522175439"/>
      <w:bookmarkStart w:id="30" w:name="_Toc10154"/>
      <w:r>
        <w:rPr>
          <w:rFonts w:hint="eastAsia" w:ascii="宋体" w:hAnsi="宋体" w:cs="宋体"/>
          <w:b/>
          <w:kern w:val="0"/>
          <w:sz w:val="24"/>
          <w:szCs w:val="24"/>
        </w:rPr>
        <w:t>2、资源节约与综合利用</w:t>
      </w:r>
      <w:bookmarkEnd w:id="29"/>
      <w:bookmarkEnd w:id="30"/>
    </w:p>
    <w:p>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为加强科学节能管理，建立健全了从公司、车间、班组的三级节能管理网络，分层次开展能源节约工作。严格贯彻执行国家、政府有关节能的方针政策、法令法规、节能技术监督的各项规程、条例、规章制度。进一步建立健全监督机制和责任、奖惩体系，按月落实分解。强化能源基础管理工作，对水、电</w:t>
      </w:r>
      <w:r>
        <w:rPr>
          <w:rFonts w:hint="eastAsia" w:ascii="宋体" w:hAnsi="宋体" w:cs="宋体"/>
          <w:kern w:val="0"/>
          <w:sz w:val="24"/>
          <w:szCs w:val="24"/>
          <w:lang w:eastAsia="zh-CN"/>
        </w:rPr>
        <w:t>、</w:t>
      </w:r>
      <w:r>
        <w:rPr>
          <w:rFonts w:hint="eastAsia" w:ascii="宋体" w:hAnsi="宋体" w:cs="宋体"/>
          <w:kern w:val="0"/>
          <w:sz w:val="24"/>
          <w:szCs w:val="24"/>
        </w:rPr>
        <w:t>气等能源及介质，通过追踪能源流的运行轨迹，打破常规能源平衡模式，采用动态非平衡理论，对能源系统重新布局优化，实现了生产过程由可靠、可控运行向经济运行的转变。保证了各个环节都能及时、准确、科学地掌握各种能源及能源介质运行状态及使用量等各种数据。公司内部实行严格计量核算，制订了能源计量、统计分析考评制度，把能源计量列入公司能源管理体系中。生产工艺的更新改造对能源消耗起着至关重要的作用，近年来，公司按照国内先进的轴承座短流程工艺。进行技术改造及场地调整，淘汰了原手工为主的轴承座铸造生产工艺，全部调整为自动化工艺进行工艺设施的布局，该工艺显著特点是减少工艺道次，提高产能和降低能源消耗。近年来，通过烘烤热风炉煤改汽节能改造，使生产过程绿色化、清洁化、柔性化、智能化，在生产效率不断提升的同时，大大降低了能源消耗</w:t>
      </w:r>
      <w:r>
        <w:rPr>
          <w:rFonts w:hint="eastAsia"/>
          <w:sz w:val="24"/>
        </w:rPr>
        <w:t>以企业的小循环来促进社会的大循环，形成了能源节约、环境保护的长效管理机制，环境状况得到显著改善。目前，公司已通过ISO14001质量管理体系认证，并持续有效运行</w:t>
      </w:r>
      <w:r>
        <w:rPr>
          <w:rFonts w:hint="eastAsia" w:ascii="宋体" w:hAnsi="宋体" w:cs="宋体"/>
          <w:kern w:val="0"/>
          <w:sz w:val="24"/>
          <w:szCs w:val="24"/>
        </w:rPr>
        <w:t>。</w:t>
      </w:r>
    </w:p>
    <w:p>
      <w:pPr>
        <w:spacing w:line="360" w:lineRule="auto"/>
        <w:ind w:firstLine="472" w:firstLineChars="196"/>
        <w:outlineLvl w:val="1"/>
        <w:rPr>
          <w:rFonts w:hint="default" w:ascii="宋体" w:hAnsi="宋体" w:cs="宋体"/>
          <w:b/>
          <w:kern w:val="0"/>
          <w:sz w:val="24"/>
          <w:szCs w:val="24"/>
          <w:lang w:val="en-US" w:eastAsia="zh-CN"/>
        </w:rPr>
      </w:pPr>
      <w:bookmarkStart w:id="31" w:name="_Toc32092"/>
      <w:r>
        <w:rPr>
          <w:rFonts w:hint="eastAsia" w:ascii="宋体" w:hAnsi="宋体" w:cs="宋体"/>
          <w:b/>
          <w:kern w:val="0"/>
          <w:sz w:val="24"/>
          <w:szCs w:val="24"/>
          <w:lang w:val="en-US" w:eastAsia="zh-CN"/>
        </w:rPr>
        <w:t>3、低碳运营</w:t>
      </w:r>
      <w:bookmarkEnd w:id="31"/>
    </w:p>
    <w:p>
      <w:pPr>
        <w:spacing w:line="360" w:lineRule="auto"/>
        <w:ind w:firstLine="480" w:firstLineChars="200"/>
        <w:rPr>
          <w:rFonts w:hint="default" w:ascii="宋体" w:hAnsi="宋体" w:cs="宋体"/>
          <w:kern w:val="0"/>
          <w:sz w:val="24"/>
          <w:szCs w:val="24"/>
          <w:lang w:val="en-US" w:eastAsia="zh-CN"/>
        </w:rPr>
      </w:pPr>
      <w:r>
        <w:rPr>
          <w:rFonts w:hint="eastAsia" w:ascii="宋体" w:hAnsi="宋体" w:cs="宋体"/>
          <w:kern w:val="0"/>
          <w:sz w:val="24"/>
          <w:szCs w:val="24"/>
          <w:lang w:val="en-US" w:eastAsia="zh-CN"/>
        </w:rPr>
        <w:t>气候变化是重要的全球性环境问题。为响应“2030碳达峰，2060</w:t>
      </w:r>
      <w:r>
        <w:rPr>
          <w:rFonts w:hint="default" w:ascii="宋体" w:hAnsi="宋体" w:cs="宋体"/>
          <w:kern w:val="0"/>
          <w:sz w:val="24"/>
          <w:szCs w:val="24"/>
          <w:lang w:val="en-US" w:eastAsia="zh-CN"/>
        </w:rPr>
        <w:t>碳中和”的国家目标，作为有责任感的企业公民，</w:t>
      </w:r>
      <w:r>
        <w:rPr>
          <w:rFonts w:hint="eastAsia" w:ascii="宋体" w:hAnsi="宋体" w:cs="宋体"/>
          <w:kern w:val="0"/>
          <w:sz w:val="24"/>
          <w:szCs w:val="24"/>
          <w:lang w:val="en-US" w:eastAsia="zh-CN"/>
        </w:rPr>
        <w:t>江苏苏新</w:t>
      </w:r>
      <w:r>
        <w:rPr>
          <w:rFonts w:hint="default" w:ascii="宋体" w:hAnsi="宋体" w:cs="宋体"/>
          <w:kern w:val="0"/>
          <w:sz w:val="24"/>
          <w:szCs w:val="24"/>
          <w:lang w:val="en-US" w:eastAsia="zh-CN"/>
        </w:rPr>
        <w:t>意识到我们在对抗气候变化的全球挑战中起到的作用，并在运营中引入减碳措施。</w:t>
      </w:r>
    </w:p>
    <w:p>
      <w:pPr>
        <w:spacing w:line="360" w:lineRule="auto"/>
        <w:ind w:firstLine="480" w:firstLineChars="200"/>
        <w:rPr>
          <w:rFonts w:hint="default" w:ascii="宋体" w:hAnsi="宋体" w:cs="宋体"/>
          <w:kern w:val="0"/>
          <w:sz w:val="24"/>
          <w:szCs w:val="24"/>
          <w:lang w:val="en-US" w:eastAsia="zh-CN"/>
        </w:rPr>
      </w:pPr>
      <w:r>
        <w:rPr>
          <w:rFonts w:hint="eastAsia" w:ascii="宋体" w:hAnsi="宋体" w:cs="宋体"/>
          <w:kern w:val="0"/>
          <w:sz w:val="24"/>
          <w:szCs w:val="24"/>
          <w:lang w:val="en-US" w:eastAsia="zh-CN"/>
        </w:rPr>
        <w:t>公司在2021年建设了0.8MW光伏电站，年发电量约100万千瓦时，减少了碳排放。公司依据ISO14064 标准对其2021年温室气体排放情进行了盘查，编制了温室气体清单和排放报告，2021年度公司温室气体排放量为 13483.805tCO</w:t>
      </w:r>
      <w:r>
        <w:rPr>
          <w:rFonts w:hint="eastAsia" w:ascii="宋体" w:hAnsi="宋体" w:cs="宋体"/>
          <w:kern w:val="0"/>
          <w:sz w:val="24"/>
          <w:szCs w:val="24"/>
          <w:vertAlign w:val="subscript"/>
          <w:lang w:val="en-US" w:eastAsia="zh-CN"/>
        </w:rPr>
        <w:t>2</w:t>
      </w:r>
      <w:r>
        <w:rPr>
          <w:rFonts w:hint="eastAsia" w:ascii="宋体" w:hAnsi="宋体" w:cs="宋体"/>
          <w:kern w:val="0"/>
          <w:sz w:val="24"/>
          <w:szCs w:val="24"/>
          <w:lang w:val="en-US" w:eastAsia="zh-CN"/>
        </w:rPr>
        <w:t>e，同时基于ISO14067《温室气体-产品碳足迹-量化要求与指南》）等标准，对飞轮壳产品从原材料获取、生产、汽车使用三个阶段进行碳足迹数据的收集和核算，一件1002061-L37-2040M型飞轮壳产品全生命周期二氧化碳排放值为356克二氧化碳当量/件。</w:t>
      </w:r>
    </w:p>
    <w:p>
      <w:pPr>
        <w:spacing w:line="360" w:lineRule="auto"/>
        <w:ind w:firstLine="472" w:firstLineChars="196"/>
        <w:outlineLvl w:val="0"/>
        <w:rPr>
          <w:rFonts w:ascii="宋体" w:hAnsi="宋体" w:cs="宋体"/>
          <w:b/>
          <w:kern w:val="0"/>
          <w:sz w:val="24"/>
          <w:szCs w:val="24"/>
        </w:rPr>
      </w:pPr>
      <w:bookmarkStart w:id="32" w:name="_Toc522175440"/>
      <w:bookmarkStart w:id="33" w:name="_Toc619"/>
      <w:r>
        <w:rPr>
          <w:rFonts w:hint="eastAsia" w:ascii="宋体" w:hAnsi="宋体" w:cs="宋体"/>
          <w:b/>
          <w:kern w:val="0"/>
          <w:sz w:val="24"/>
          <w:szCs w:val="24"/>
          <w:lang w:val="en-US" w:eastAsia="zh-CN"/>
        </w:rPr>
        <w:t>六</w:t>
      </w:r>
      <w:r>
        <w:rPr>
          <w:rFonts w:hint="eastAsia" w:ascii="宋体" w:hAnsi="宋体" w:cs="宋体"/>
          <w:b/>
          <w:kern w:val="0"/>
          <w:sz w:val="24"/>
          <w:szCs w:val="24"/>
        </w:rPr>
        <w:t>、安全生产</w:t>
      </w:r>
      <w:bookmarkEnd w:id="32"/>
      <w:bookmarkEnd w:id="33"/>
    </w:p>
    <w:p>
      <w:pPr>
        <w:spacing w:line="360" w:lineRule="auto"/>
        <w:ind w:firstLine="472" w:firstLineChars="196"/>
        <w:outlineLvl w:val="1"/>
        <w:rPr>
          <w:rFonts w:ascii="宋体" w:hAnsi="宋体" w:cs="宋体"/>
          <w:b/>
          <w:kern w:val="0"/>
          <w:sz w:val="24"/>
          <w:szCs w:val="24"/>
        </w:rPr>
      </w:pPr>
      <w:bookmarkStart w:id="34" w:name="_Toc522175441"/>
      <w:bookmarkStart w:id="35" w:name="_Toc26881"/>
      <w:r>
        <w:rPr>
          <w:rFonts w:hint="eastAsia" w:ascii="宋体" w:hAnsi="宋体" w:cs="宋体"/>
          <w:b/>
          <w:kern w:val="0"/>
          <w:sz w:val="24"/>
          <w:szCs w:val="24"/>
        </w:rPr>
        <w:t>1、安全生产管理</w:t>
      </w:r>
      <w:bookmarkEnd w:id="34"/>
      <w:bookmarkEnd w:id="35"/>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本着“安全第一，预防为主”的安全生产方针。逐步推行现代安全管理，重视员工在作业中的安全和健康，成立有公司安全生产领导小组、明确有安全归口管理部门、配备有专兼职安全管理人员，安全生产管理网络健全，制定有各级安全生产责任制、安全生产管理制度，职能部门职责明确。</w:t>
      </w:r>
      <w:r>
        <w:rPr>
          <w:rFonts w:ascii="宋体" w:hAnsi="宋体" w:cs="宋体"/>
          <w:kern w:val="0"/>
          <w:sz w:val="24"/>
          <w:szCs w:val="24"/>
        </w:rPr>
        <w:t xml:space="preserve"> </w:t>
      </w:r>
    </w:p>
    <w:p>
      <w:pPr>
        <w:spacing w:line="360" w:lineRule="auto"/>
        <w:jc w:val="center"/>
        <w:rPr>
          <w:rFonts w:ascii="宋体" w:hAnsi="宋体" w:cs="宋体"/>
          <w:kern w:val="0"/>
          <w:sz w:val="24"/>
          <w:szCs w:val="24"/>
        </w:rPr>
      </w:pPr>
    </w:p>
    <w:p>
      <w:pPr>
        <w:spacing w:line="360" w:lineRule="auto"/>
        <w:ind w:firstLine="472" w:firstLineChars="196"/>
        <w:outlineLvl w:val="1"/>
        <w:rPr>
          <w:rFonts w:ascii="宋体" w:hAnsi="宋体" w:cs="宋体"/>
          <w:b/>
          <w:kern w:val="0"/>
          <w:sz w:val="24"/>
          <w:szCs w:val="24"/>
        </w:rPr>
      </w:pPr>
      <w:bookmarkStart w:id="36" w:name="_Toc522175442"/>
      <w:bookmarkStart w:id="37" w:name="_Toc31589"/>
      <w:r>
        <w:rPr>
          <w:rFonts w:hint="eastAsia" w:ascii="宋体" w:hAnsi="宋体" w:cs="宋体"/>
          <w:b/>
          <w:kern w:val="0"/>
          <w:sz w:val="24"/>
          <w:szCs w:val="24"/>
        </w:rPr>
        <w:t>2、安全生产投入</w:t>
      </w:r>
      <w:bookmarkEnd w:id="36"/>
      <w:bookmarkEnd w:id="37"/>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加强管控、防范盗窃、人车分离”安全防 范要求，实施“安全技防项目”，为保护企业财产安全、保护员工切身利益，维护企业正常经营管理秩序提供了技术保障，提升了企业安全管理水平。</w:t>
      </w:r>
    </w:p>
    <w:p>
      <w:pPr>
        <w:spacing w:line="360" w:lineRule="auto"/>
        <w:ind w:firstLine="472" w:firstLineChars="196"/>
        <w:outlineLvl w:val="1"/>
        <w:rPr>
          <w:rFonts w:ascii="宋体" w:hAnsi="宋体" w:cs="宋体"/>
          <w:b/>
          <w:kern w:val="0"/>
          <w:sz w:val="24"/>
          <w:szCs w:val="24"/>
        </w:rPr>
      </w:pPr>
      <w:bookmarkStart w:id="38" w:name="_Toc522175443"/>
      <w:bookmarkStart w:id="39" w:name="_Toc15220"/>
      <w:r>
        <w:rPr>
          <w:rFonts w:hint="eastAsia" w:ascii="宋体" w:hAnsi="宋体" w:cs="宋体"/>
          <w:b/>
          <w:kern w:val="0"/>
          <w:sz w:val="24"/>
          <w:szCs w:val="24"/>
        </w:rPr>
        <w:t>3、安全生产教育和培训</w:t>
      </w:r>
      <w:bookmarkEnd w:id="38"/>
      <w:bookmarkEnd w:id="39"/>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员工是企业最宝贵的财富，企业的发展离不开员工，我公司一直以来都把安全生产、职工劳动保护工作当作一切工作中的重中之重，切实维护职工的生命安全和职业健康。为进一步加强企业安全工作，营造“安全生产，人人有责”的良好氛围，树立安全为天的思想意识，2018年6月，公司相关部门举行了2018年“安全生产月”活动启动仪式，结合开展“‘安全生产月’安全知识教育、考核评比”活动，推动公司安全生产工作再上新台阶。此次活动坚持“安全隐患排查与治理”工作为主线，不断夯实安全基础，深入开展隐患排查治理和安全督查工作，宣传安全生产方针政策，合理部署、整体推进，使安全生产管理深入人心，进一步提高全体干部职工的安全意识和责任意识，形成“安全生产，以人为本”的共识。</w:t>
      </w:r>
    </w:p>
    <w:p>
      <w:pPr>
        <w:spacing w:line="360" w:lineRule="auto"/>
        <w:ind w:firstLine="472" w:firstLineChars="196"/>
        <w:outlineLvl w:val="0"/>
        <w:rPr>
          <w:rFonts w:ascii="宋体" w:hAnsi="宋体" w:cs="宋体"/>
          <w:b/>
          <w:kern w:val="0"/>
          <w:sz w:val="24"/>
          <w:szCs w:val="24"/>
        </w:rPr>
      </w:pPr>
      <w:bookmarkStart w:id="40" w:name="_Toc522175444"/>
      <w:bookmarkStart w:id="41" w:name="_Toc30851"/>
      <w:r>
        <w:rPr>
          <w:rFonts w:hint="eastAsia" w:ascii="宋体" w:hAnsi="宋体" w:cs="宋体"/>
          <w:b/>
          <w:kern w:val="0"/>
          <w:sz w:val="24"/>
          <w:szCs w:val="24"/>
          <w:lang w:val="en-US" w:eastAsia="zh-CN"/>
        </w:rPr>
        <w:t>七</w:t>
      </w:r>
      <w:r>
        <w:rPr>
          <w:rFonts w:hint="eastAsia" w:ascii="宋体" w:hAnsi="宋体" w:cs="宋体"/>
          <w:b/>
          <w:kern w:val="0"/>
          <w:sz w:val="24"/>
          <w:szCs w:val="24"/>
        </w:rPr>
        <w:t>、员工</w:t>
      </w:r>
      <w:bookmarkEnd w:id="40"/>
      <w:bookmarkEnd w:id="41"/>
    </w:p>
    <w:p>
      <w:pPr>
        <w:spacing w:line="360" w:lineRule="auto"/>
        <w:ind w:firstLine="472" w:firstLineChars="196"/>
        <w:outlineLvl w:val="1"/>
        <w:rPr>
          <w:rFonts w:ascii="宋体" w:hAnsi="宋体" w:cs="宋体"/>
          <w:b/>
          <w:kern w:val="0"/>
          <w:sz w:val="24"/>
          <w:szCs w:val="24"/>
        </w:rPr>
      </w:pPr>
      <w:bookmarkStart w:id="42" w:name="_Toc522175445"/>
      <w:bookmarkStart w:id="43" w:name="_Toc24787"/>
      <w:r>
        <w:rPr>
          <w:rFonts w:hint="eastAsia" w:ascii="宋体" w:hAnsi="宋体" w:cs="宋体"/>
          <w:b/>
          <w:kern w:val="0"/>
          <w:sz w:val="24"/>
          <w:szCs w:val="24"/>
        </w:rPr>
        <w:t>1、劳动合同与薪酬</w:t>
      </w:r>
      <w:bookmarkEnd w:id="42"/>
      <w:bookmarkEnd w:id="43"/>
    </w:p>
    <w:p>
      <w:pPr>
        <w:spacing w:line="360" w:lineRule="auto"/>
        <w:ind w:firstLine="480" w:firstLineChars="200"/>
        <w:rPr>
          <w:sz w:val="24"/>
          <w:szCs w:val="24"/>
        </w:rPr>
      </w:pPr>
      <w:r>
        <w:rPr>
          <w:rFonts w:hint="eastAsia"/>
          <w:sz w:val="24"/>
          <w:szCs w:val="24"/>
        </w:rPr>
        <w:t>公司坚持以人为本，注重多方面推动员工职业发展，努力创造条件、创新机制，搭建员工职业和事业发展平台，推动员工与公司的共同发展。</w:t>
      </w:r>
    </w:p>
    <w:p>
      <w:pPr>
        <w:spacing w:line="360" w:lineRule="auto"/>
        <w:ind w:firstLine="480" w:firstLineChars="200"/>
        <w:rPr>
          <w:sz w:val="24"/>
          <w:szCs w:val="24"/>
        </w:rPr>
      </w:pPr>
      <w:r>
        <w:rPr>
          <w:rFonts w:hint="eastAsia"/>
          <w:sz w:val="24"/>
          <w:szCs w:val="24"/>
        </w:rPr>
        <w:t>公司内部搭建了人力资源交流配置平台，推进失去工作岗位人员的再就业工作，不将富余人员直接推向社会。把全面履行《劳动合同法》看作是公司全面履行社会责任的重要组成部分，坚持将劳动关系管理纳入企业的战略管理，着力构建劳动关系和谐企业。</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公司严格遵守、全面贯彻《中华人民共和国劳动合同法》等法律法规，遵循合法、公平、平等自愿的原则与员工签订书面劳动合同，依法进行劳动合同的履行、变更、解除和终止。劳动合同签约率100%。</w:t>
      </w:r>
      <w:r>
        <w:rPr>
          <w:rFonts w:hint="eastAsia"/>
          <w:sz w:val="24"/>
          <w:szCs w:val="24"/>
        </w:rPr>
        <w:t>公司为员工缴纳五险一金和团体意外险，提供年终奖励基金。</w:t>
      </w:r>
      <w:r>
        <w:rPr>
          <w:rFonts w:hint="eastAsia" w:ascii="宋体" w:hAnsi="宋体" w:cs="宋体"/>
          <w:kern w:val="0"/>
          <w:sz w:val="24"/>
          <w:szCs w:val="24"/>
        </w:rPr>
        <w:t>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pPr>
        <w:spacing w:line="360" w:lineRule="auto"/>
        <w:ind w:firstLine="472" w:firstLineChars="196"/>
        <w:outlineLvl w:val="1"/>
        <w:rPr>
          <w:rFonts w:ascii="宋体" w:hAnsi="宋体" w:cs="宋体"/>
          <w:b/>
          <w:kern w:val="0"/>
          <w:sz w:val="24"/>
          <w:szCs w:val="24"/>
        </w:rPr>
      </w:pPr>
      <w:bookmarkStart w:id="44" w:name="_Toc522175446"/>
      <w:bookmarkStart w:id="45" w:name="_Toc17375"/>
      <w:r>
        <w:rPr>
          <w:rFonts w:hint="eastAsia" w:ascii="宋体" w:hAnsi="宋体" w:cs="宋体"/>
          <w:b/>
          <w:kern w:val="0"/>
          <w:sz w:val="24"/>
          <w:szCs w:val="24"/>
        </w:rPr>
        <w:t>2、社会保障</w:t>
      </w:r>
      <w:bookmarkEnd w:id="44"/>
      <w:bookmarkEnd w:id="45"/>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公司依法为员工按时足额缴纳养老金、失业保险金、医疗保险金等社会保险。</w:t>
      </w:r>
    </w:p>
    <w:p>
      <w:pPr>
        <w:spacing w:line="360" w:lineRule="auto"/>
        <w:ind w:firstLine="472" w:firstLineChars="196"/>
        <w:outlineLvl w:val="1"/>
        <w:rPr>
          <w:rFonts w:ascii="宋体" w:hAnsi="宋体" w:cs="宋体"/>
          <w:b/>
          <w:kern w:val="0"/>
          <w:sz w:val="24"/>
          <w:szCs w:val="24"/>
        </w:rPr>
      </w:pPr>
      <w:bookmarkStart w:id="46" w:name="_Toc522175447"/>
      <w:bookmarkStart w:id="47" w:name="_Toc6005"/>
      <w:r>
        <w:rPr>
          <w:rFonts w:hint="eastAsia" w:ascii="宋体" w:hAnsi="宋体" w:cs="宋体"/>
          <w:b/>
          <w:kern w:val="0"/>
          <w:sz w:val="24"/>
          <w:szCs w:val="24"/>
        </w:rPr>
        <w:t>3、员工福利</w:t>
      </w:r>
      <w:bookmarkEnd w:id="46"/>
      <w:bookmarkEnd w:id="47"/>
    </w:p>
    <w:p>
      <w:pPr>
        <w:spacing w:line="360" w:lineRule="auto"/>
        <w:ind w:firstLine="360" w:firstLineChars="150"/>
        <w:rPr>
          <w:rFonts w:ascii="宋体" w:hAnsi="宋体" w:cs="宋体"/>
          <w:kern w:val="0"/>
          <w:sz w:val="24"/>
          <w:szCs w:val="24"/>
        </w:rPr>
      </w:pPr>
      <w:r>
        <w:rPr>
          <w:rFonts w:hint="eastAsia" w:ascii="宋体" w:hAnsi="宋体" w:cs="宋体"/>
          <w:kern w:val="0"/>
          <w:sz w:val="24"/>
          <w:szCs w:val="24"/>
        </w:rPr>
        <w:t>为丰富员工的业余生活，公司也组织策划了各类型活动，如年初员工表彰及文艺表演，公司组织拔河比赛、唱歌比赛等活动。活跃和丰富了员工业余生活，激发了员工学习热情，增强了大家的凝聚力，在公司形成了良好的学习氛围。</w:t>
      </w:r>
    </w:p>
    <w:p>
      <w:pPr>
        <w:spacing w:line="360" w:lineRule="auto"/>
        <w:ind w:firstLine="480" w:firstLineChars="200"/>
        <w:rPr>
          <w:sz w:val="24"/>
          <w:szCs w:val="24"/>
        </w:rPr>
      </w:pPr>
      <w:r>
        <w:rPr>
          <w:rFonts w:hint="eastAsia" w:ascii="宋体" w:hAnsi="宋体" w:cs="宋体"/>
          <w:kern w:val="0"/>
          <w:sz w:val="24"/>
          <w:szCs w:val="24"/>
        </w:rPr>
        <w:t>对员工的责任是让全体员工安全、健康、快乐、富有。体现的是“家”文化。公司工会更是以关心员工生活，为群众办好事实事为已任，工会委员把关心做到“家”。公司工会每年会拿出一部分资金慰问困难的员工，认真了解员工的实际工作状况和所思所想所求，为员工排忧解难。为了更好地服务于职工，公司工会积极组织策划了一系列专题活动。组织中局干部旅游等。通过一系列活动的开展，让员工充分感受到公司的人文关怀，让“家文化”的观念深入员工心中。通过先进集体、先进个人和工会积极分子的评选表彰活动，宣传员工的优秀事迹，弘扬员工身上所体现的企业精神，并通过精神、理念、传统等无形的因素，陶冶员工的情操，培养员工群体意识和良好的共同习俗和道德风尚。</w:t>
      </w:r>
      <w:r>
        <w:rPr>
          <w:rFonts w:hint="eastAsia"/>
          <w:sz w:val="24"/>
          <w:szCs w:val="24"/>
        </w:rPr>
        <w:t>公司已通过OHSAS18001职业健康安全管理体系认证和SA8000社会责任管理体系认证，使公司在用工管理方面更加完善，先后被评为“常州市模范劳动关系和谐企业”、“常州市劳动保障诚信示范企业”、“常州市创建和谐劳动关系先进企业”、“工人先锋号”等。</w:t>
      </w:r>
    </w:p>
    <w:p>
      <w:pPr>
        <w:rPr>
          <w:rFonts w:ascii="宋体" w:hAnsi="宋体" w:cs="宋体"/>
          <w:kern w:val="0"/>
          <w:sz w:val="24"/>
          <w:szCs w:val="24"/>
        </w:rPr>
      </w:pPr>
      <w:r>
        <w:rPr>
          <w:rFonts w:ascii="宋体" w:hAnsi="宋体" w:cs="宋体"/>
          <w:kern w:val="0"/>
          <w:sz w:val="24"/>
          <w:szCs w:val="24"/>
        </w:rPr>
        <w:drawing>
          <wp:inline distT="0" distB="0" distL="0" distR="0">
            <wp:extent cx="2506345" cy="1719580"/>
            <wp:effectExtent l="0" t="0" r="8255" b="0"/>
            <wp:docPr id="14" name="图片 14" descr="C:\Documents and Settings\Administrator\Application Data\Tencent\Users\1248671134\QQ\WinTemp\RichOle\FT4%`[}NBI1Q`4Q(IKY`9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ocuments and Settings\Administrator\Application Data\Tencent\Users\1248671134\QQ\WinTemp\RichOle\FT4%`[}NBI1Q`4Q(IKY`9V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14844" cy="1725735"/>
                    </a:xfrm>
                    <a:prstGeom prst="rect">
                      <a:avLst/>
                    </a:prstGeom>
                    <a:noFill/>
                    <a:ln>
                      <a:noFill/>
                    </a:ln>
                  </pic:spPr>
                </pic:pic>
              </a:graphicData>
            </a:graphic>
          </wp:inline>
        </w:drawing>
      </w:r>
      <w:r>
        <w:rPr>
          <w:rFonts w:hint="eastAsia" w:ascii="宋体" w:hAnsi="宋体" w:cs="宋体"/>
          <w:kern w:val="0"/>
          <w:sz w:val="24"/>
          <w:szCs w:val="24"/>
        </w:rPr>
        <w:t xml:space="preserve"> </w:t>
      </w:r>
      <w:r>
        <w:rPr>
          <w:rFonts w:ascii="宋体" w:hAnsi="宋体" w:cs="宋体"/>
          <w:kern w:val="0"/>
          <w:sz w:val="24"/>
          <w:szCs w:val="24"/>
        </w:rPr>
        <w:drawing>
          <wp:inline distT="0" distB="0" distL="0" distR="0">
            <wp:extent cx="2905125" cy="1718945"/>
            <wp:effectExtent l="0" t="0" r="0" b="0"/>
            <wp:docPr id="15" name="图片 15" descr="C:\Documents and Settings\Administrator\Application Data\Tencent\Users\1248671134\QQ\WinTemp\RichOle\)~9OJF}V]FS5IK[$5$AO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Documents and Settings\Administrator\Application Data\Tencent\Users\1248671134\QQ\WinTemp\RichOle\)~9OJF}V]FS5IK[$5$AO9`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05125" cy="1719127"/>
                    </a:xfrm>
                    <a:prstGeom prst="rect">
                      <a:avLst/>
                    </a:prstGeom>
                    <a:noFill/>
                    <a:ln>
                      <a:noFill/>
                    </a:ln>
                  </pic:spPr>
                </pic:pic>
              </a:graphicData>
            </a:graphic>
          </wp:inline>
        </w:drawing>
      </w:r>
    </w:p>
    <w:p>
      <w:pPr>
        <w:ind w:firstLine="472" w:firstLineChars="196"/>
        <w:outlineLvl w:val="1"/>
        <w:rPr>
          <w:rFonts w:ascii="宋体" w:hAnsi="宋体" w:cs="宋体"/>
          <w:b/>
          <w:kern w:val="0"/>
          <w:sz w:val="24"/>
          <w:szCs w:val="24"/>
        </w:rPr>
      </w:pPr>
      <w:bookmarkStart w:id="48" w:name="_Toc522175448"/>
      <w:bookmarkStart w:id="49" w:name="_Toc29810"/>
      <w:r>
        <w:rPr>
          <w:rFonts w:hint="eastAsia" w:ascii="宋体" w:hAnsi="宋体" w:cs="宋体"/>
          <w:b/>
          <w:kern w:val="0"/>
          <w:sz w:val="24"/>
          <w:szCs w:val="24"/>
        </w:rPr>
        <w:t>4、职业健康安全</w:t>
      </w:r>
      <w:bookmarkEnd w:id="48"/>
      <w:bookmarkEnd w:id="49"/>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建立了OHSAS18001职业健康安全体系。关注员工身心健康，进行员工体检。公司每年一次为员工进行健康体检。与此同时，积极开展职业健康宣传，利用发布预防疾病的信息和知识等综合手段，关心员工健康，减少疾病危害。</w:t>
      </w:r>
    </w:p>
    <w:p>
      <w:pPr>
        <w:spacing w:line="360" w:lineRule="auto"/>
        <w:ind w:firstLine="472" w:firstLineChars="196"/>
        <w:outlineLvl w:val="1"/>
        <w:rPr>
          <w:rFonts w:ascii="宋体" w:hAnsi="宋体" w:cs="宋体"/>
          <w:b/>
          <w:kern w:val="0"/>
          <w:sz w:val="24"/>
          <w:szCs w:val="24"/>
        </w:rPr>
      </w:pPr>
      <w:bookmarkStart w:id="50" w:name="_Toc522175449"/>
      <w:bookmarkStart w:id="51" w:name="_Toc11373"/>
      <w:r>
        <w:rPr>
          <w:rFonts w:hint="eastAsia" w:ascii="宋体" w:hAnsi="宋体" w:cs="宋体"/>
          <w:b/>
          <w:kern w:val="0"/>
          <w:sz w:val="24"/>
          <w:szCs w:val="24"/>
        </w:rPr>
        <w:t>5、民主管理</w:t>
      </w:r>
      <w:bookmarkEnd w:id="50"/>
      <w:bookmarkEnd w:id="51"/>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制度，领导干部民主评议等。公司成立由党支部、工会和员工代表三方组成的劳动纠纷调解委员会，建立劳动纠纷调解的处理程序。</w:t>
      </w:r>
    </w:p>
    <w:p>
      <w:pPr>
        <w:spacing w:line="360" w:lineRule="auto"/>
        <w:ind w:firstLine="472" w:firstLineChars="196"/>
        <w:outlineLvl w:val="1"/>
        <w:rPr>
          <w:rFonts w:ascii="宋体" w:hAnsi="宋体" w:cs="宋体"/>
          <w:b/>
          <w:kern w:val="0"/>
          <w:sz w:val="24"/>
          <w:szCs w:val="24"/>
        </w:rPr>
      </w:pPr>
      <w:bookmarkStart w:id="52" w:name="_Toc522175450"/>
      <w:bookmarkStart w:id="53" w:name="_Toc21785"/>
      <w:r>
        <w:rPr>
          <w:rFonts w:hint="eastAsia" w:ascii="宋体" w:hAnsi="宋体" w:cs="宋体"/>
          <w:b/>
          <w:kern w:val="0"/>
          <w:sz w:val="24"/>
          <w:szCs w:val="24"/>
        </w:rPr>
        <w:t>6、员工培训和发展</w:t>
      </w:r>
      <w:bookmarkEnd w:id="52"/>
      <w:bookmarkEnd w:id="53"/>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开展全方位、多层次、系统性的教育培训。公司将培训内容分为学历培训、入职培训、专业培训、管理培训四种，将培训形式分为公开课、内部培训、内训、培训项目四种。公司实施个性化的员工学习与发展计划。针对管理员工，每年资助优秀员工进行学历培训。针对专业技术人员，邀请国际国内技术专家举办专题讲座，每年技术研究报告会等形式，将知识和经验进行传承。针对制造现场人员，对不同的职位开展一系列活动和培训，如上岗培训、班长培训、岗位技能培训、学历培训等等。</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2016年公司董事长何岳良同志被授予“常州市劳动模范”称号，此外，公司工会围绕“内强素质、外树形象”的中心思想，一方面通过黑板报、宣传栏、阳湖报刊等形式，教导员工树立紧迫感、危机感、责任感，充分调动员工的工作积极性和创造性；另一方面在公司内部组织各个车间、班组都进行各式各样的技能培训。充分调动了员工进行专业生产、强化操作技能的积极性。</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每年定期委派技术、管理骨干参加政府组织的各种培训，使他们开阔眼界，增长见识。公司积极推荐参加“省市优秀拔尖技能人才”、“省双创团队”、“省、市劳模”等荣誉的评选，有多人获此荣誉，激发了他们创新热情和活力。</w:t>
      </w:r>
    </w:p>
    <w:p>
      <w:pPr>
        <w:spacing w:line="360" w:lineRule="auto"/>
        <w:ind w:firstLine="472" w:firstLineChars="196"/>
        <w:outlineLvl w:val="0"/>
        <w:rPr>
          <w:rFonts w:ascii="宋体" w:hAnsi="宋体" w:cs="宋体"/>
          <w:b/>
          <w:kern w:val="0"/>
          <w:sz w:val="24"/>
          <w:szCs w:val="24"/>
        </w:rPr>
      </w:pPr>
      <w:bookmarkStart w:id="54" w:name="_Toc522175451"/>
      <w:bookmarkStart w:id="55" w:name="_Toc28906"/>
      <w:r>
        <w:rPr>
          <w:rFonts w:hint="eastAsia" w:ascii="宋体" w:hAnsi="宋体" w:cs="宋体"/>
          <w:b/>
          <w:kern w:val="0"/>
          <w:sz w:val="24"/>
          <w:szCs w:val="24"/>
          <w:lang w:val="en-US" w:eastAsia="zh-CN"/>
        </w:rPr>
        <w:t>八</w:t>
      </w:r>
      <w:r>
        <w:rPr>
          <w:rFonts w:hint="eastAsia" w:ascii="宋体" w:hAnsi="宋体" w:cs="宋体"/>
          <w:b/>
          <w:kern w:val="0"/>
          <w:sz w:val="24"/>
          <w:szCs w:val="24"/>
        </w:rPr>
        <w:t>、社会责任</w:t>
      </w:r>
      <w:bookmarkEnd w:id="54"/>
      <w:bookmarkEnd w:id="55"/>
    </w:p>
    <w:p>
      <w:pPr>
        <w:spacing w:line="360" w:lineRule="auto"/>
        <w:ind w:firstLine="470" w:firstLineChars="196"/>
        <w:rPr>
          <w:rFonts w:ascii="宋体" w:hAnsi="宋体" w:cs="宋体"/>
          <w:kern w:val="0"/>
          <w:sz w:val="24"/>
          <w:szCs w:val="24"/>
        </w:rPr>
      </w:pPr>
      <w:r>
        <w:rPr>
          <w:rFonts w:hint="eastAsia" w:ascii="宋体" w:hAnsi="宋体" w:cs="宋体"/>
          <w:kern w:val="0"/>
          <w:sz w:val="24"/>
          <w:szCs w:val="24"/>
        </w:rPr>
        <w:t>一个卓越企业既要考虑当前利益，更重要的是着眼长远可持续发展。而长远发展和持续经营，离不开社会的协同、和谐与发展。认真履行社会责任是不可小视的重要内容。江苏苏新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承担的社会责任包括：公共责任、道德规范和自愿开展的公益支持三部分。</w:t>
      </w:r>
    </w:p>
    <w:p>
      <w:pPr>
        <w:spacing w:line="360" w:lineRule="auto"/>
        <w:ind w:firstLine="472" w:firstLineChars="196"/>
        <w:outlineLvl w:val="1"/>
        <w:rPr>
          <w:rFonts w:ascii="宋体" w:hAnsi="宋体" w:cs="宋体"/>
          <w:b/>
          <w:kern w:val="0"/>
          <w:sz w:val="24"/>
          <w:szCs w:val="24"/>
        </w:rPr>
      </w:pPr>
      <w:bookmarkStart w:id="56" w:name="_Toc522175453"/>
      <w:bookmarkStart w:id="57" w:name="_Toc1255"/>
      <w:r>
        <w:rPr>
          <w:rFonts w:hint="eastAsia" w:ascii="宋体" w:hAnsi="宋体" w:cs="宋体"/>
          <w:b/>
          <w:kern w:val="0"/>
          <w:sz w:val="24"/>
          <w:szCs w:val="24"/>
        </w:rPr>
        <w:t>1、公共责任</w:t>
      </w:r>
      <w:bookmarkEnd w:id="56"/>
      <w:bookmarkEnd w:id="57"/>
    </w:p>
    <w:p>
      <w:pPr>
        <w:spacing w:line="360" w:lineRule="auto"/>
        <w:ind w:firstLine="472" w:firstLineChars="196"/>
        <w:rPr>
          <w:rFonts w:ascii="宋体" w:hAnsi="宋体" w:cs="宋体"/>
          <w:b/>
          <w:kern w:val="0"/>
          <w:sz w:val="24"/>
          <w:szCs w:val="24"/>
        </w:rPr>
      </w:pPr>
      <w:r>
        <w:rPr>
          <w:rFonts w:hint="eastAsia" w:ascii="宋体" w:hAnsi="宋体" w:cs="宋体"/>
          <w:b/>
          <w:kern w:val="0"/>
          <w:sz w:val="24"/>
          <w:szCs w:val="24"/>
        </w:rPr>
        <w:t>（1）公司对质量安全、环境保护、能源节约和资源综合利用以及公共卫生等方面的社会影响，并采取预防、控制和改进措施。</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江苏苏新产品（外球面球轴承、轴承座、飞轮壳）应用于汽车发动机、农业机械、食品机械等行业，产品的质量与安全，其综合性能经得起最严苛的考验。</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严格执行ISO9001质量管理体系，ISO14001环境管理体系、OHSAS18001职业健康安全管理体系、SA8000社会责任体系要求，公司制定了严密的质量安全防控体系，公司的产品经过充分设计论证、试验、检验、测试，才能投入正常生产运行。公司在积极推行安全体系标准化工作，获得了社会、员工、客户的广泛认可。</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着眼于高性能、节约环保型产品的开发，外球面带座轴承、飞轮壳等系列产品，以优异的性能，为企业、为客户、为社会创造了较高的经济利益。同时，凭借核心技术实现产业延伸和转型升级，将“高端、新兴、绿色”行业作为延伸产业主要的进军领域，研制传统产业转型升级和战略性新兴产业发展所需的铸造产品等，如轻量化发动机用的铝飞轮壳。同时大大降低了资源、能源消耗，广泛应用于轻量化发动机项目，公司的产品严格按照节能、环保的理念设计、制造，实现了内部铁屑、铝屑、铸件废料等100%回收利用，以资源节约、环境友好的清洁生产的绿色制造为目标，在优化生产工艺过程中，对能源使用系统重新布局优化，实现了生产过程由可靠、可控运行逐步向经济运行的转变。在节能减排技改方面，烘烤热风炉煤改汽节能改造项目，既降低了生产成本，同时实现了绿色发展。为企业、社会营造健康、环保、节约型社会环境做出了应有的贡献，得到了员工、客户、社会广泛认同。</w:t>
      </w:r>
    </w:p>
    <w:p>
      <w:pPr>
        <w:spacing w:line="360" w:lineRule="auto"/>
        <w:ind w:firstLine="472" w:firstLineChars="196"/>
        <w:rPr>
          <w:rFonts w:ascii="宋体" w:hAnsi="宋体" w:cs="宋体"/>
          <w:b/>
          <w:kern w:val="0"/>
          <w:sz w:val="24"/>
          <w:szCs w:val="24"/>
        </w:rPr>
      </w:pPr>
      <w:r>
        <w:rPr>
          <w:rFonts w:hint="eastAsia" w:ascii="宋体" w:hAnsi="宋体" w:cs="宋体"/>
          <w:b/>
          <w:kern w:val="0"/>
          <w:sz w:val="24"/>
          <w:szCs w:val="24"/>
        </w:rPr>
        <w:t>(2)主动预见公众对产品、服务和运营方面的隐忧，做出应对准备</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公司在应对公众对新建基础设施的环境安全的隐忧问题上，除了确保配套环境、安全设施的同时设计、同时施工、同时交付使用外；应对公众对突发事件的隐忧，还制定应急预案并进行定期演练。</w:t>
      </w:r>
    </w:p>
    <w:p>
      <w:pPr>
        <w:spacing w:line="360" w:lineRule="auto"/>
        <w:ind w:firstLine="600" w:firstLineChars="250"/>
        <w:rPr>
          <w:rFonts w:ascii="宋体" w:hAnsi="宋体" w:cs="宋体"/>
          <w:kern w:val="0"/>
          <w:sz w:val="24"/>
          <w:szCs w:val="24"/>
        </w:rPr>
      </w:pPr>
      <w:r>
        <w:rPr>
          <w:rFonts w:hint="eastAsia" w:ascii="宋体" w:hAnsi="宋体" w:cs="宋体"/>
          <w:kern w:val="0"/>
          <w:sz w:val="24"/>
          <w:szCs w:val="24"/>
        </w:rPr>
        <w:t>在办公域设立了明确的消防、安全应急通道、安全指示牌、应急电源指示灯等；生产现场、作业区明确安全通道、护栏、各安全消防设施存放等标识；电器设备、起重设备、机械等设备明确的载荷、安全作业指标标识；设立了疏散、集合点等等；对产品的包装安全等作出了明确要求。</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准确把握法规、标准、政策走向及公众关注焦点，通过行业协会信息收集、专业研究机构咨询、开展公众调查等方法，组织分析论证，听取政府机构和行业专家的意见建议，找出目前关注的环保、节能、安全生产等方面问题，不断改进完善相应的对策和措施。并在打造舒适环境、创建国际一流的花园式工业企业方面，取得了显著效果。公司针对公众隐忧的原因分析及采取措施见下表。</w:t>
      </w:r>
    </w:p>
    <w:p>
      <w:pPr>
        <w:spacing w:line="360" w:lineRule="auto"/>
        <w:ind w:firstLine="1680" w:firstLineChars="700"/>
        <w:rPr>
          <w:rFonts w:ascii="宋体" w:hAnsi="宋体" w:cs="宋体"/>
          <w:kern w:val="0"/>
          <w:sz w:val="24"/>
          <w:szCs w:val="24"/>
        </w:rPr>
      </w:pPr>
      <w:r>
        <w:rPr>
          <w:rFonts w:hint="eastAsia" w:ascii="宋体" w:hAnsi="宋体" w:cs="宋体"/>
          <w:kern w:val="0"/>
          <w:sz w:val="24"/>
          <w:szCs w:val="24"/>
        </w:rPr>
        <w:t>公司针对公众隐忧的原因分析及采取措施表</w:t>
      </w:r>
    </w:p>
    <w:tbl>
      <w:tblPr>
        <w:tblStyle w:val="10"/>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621"/>
        <w:gridCol w:w="5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公共</w:t>
            </w:r>
          </w:p>
          <w:p>
            <w:pPr>
              <w:spacing w:line="360" w:lineRule="auto"/>
              <w:jc w:val="center"/>
              <w:rPr>
                <w:rFonts w:ascii="宋体" w:hAnsi="宋体" w:cs="宋体"/>
                <w:b/>
                <w:bCs/>
                <w:kern w:val="0"/>
                <w:sz w:val="24"/>
                <w:szCs w:val="24"/>
              </w:rPr>
            </w:pPr>
            <w:r>
              <w:rPr>
                <w:rFonts w:hint="eastAsia" w:ascii="宋体" w:hAnsi="宋体" w:cs="宋体"/>
                <w:b/>
                <w:bCs/>
                <w:kern w:val="0"/>
                <w:sz w:val="24"/>
                <w:szCs w:val="24"/>
              </w:rPr>
              <w:t>隐忧</w:t>
            </w:r>
          </w:p>
        </w:tc>
        <w:tc>
          <w:tcPr>
            <w:tcW w:w="1621"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产生原因</w:t>
            </w:r>
          </w:p>
        </w:tc>
        <w:tc>
          <w:tcPr>
            <w:tcW w:w="5757"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产品</w:t>
            </w:r>
          </w:p>
          <w:p>
            <w:pPr>
              <w:spacing w:line="360" w:lineRule="auto"/>
              <w:jc w:val="center"/>
              <w:rPr>
                <w:rFonts w:ascii="宋体" w:hAnsi="宋体" w:cs="宋体"/>
                <w:b/>
                <w:bCs/>
                <w:kern w:val="0"/>
                <w:sz w:val="24"/>
                <w:szCs w:val="24"/>
              </w:rPr>
            </w:pPr>
            <w:r>
              <w:rPr>
                <w:rFonts w:hint="eastAsia" w:ascii="宋体" w:hAnsi="宋体" w:cs="宋体"/>
                <w:b/>
                <w:bCs/>
                <w:kern w:val="0"/>
                <w:sz w:val="24"/>
                <w:szCs w:val="24"/>
              </w:rPr>
              <w:t>安全</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有害物质</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杜绝使用有害身体健康、有害环境安全的物质和材料。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环境</w:t>
            </w:r>
          </w:p>
          <w:p>
            <w:pPr>
              <w:spacing w:line="360" w:lineRule="auto"/>
              <w:jc w:val="center"/>
              <w:rPr>
                <w:rFonts w:ascii="宋体" w:hAnsi="宋体" w:cs="宋体"/>
                <w:b/>
                <w:bCs/>
                <w:kern w:val="0"/>
                <w:sz w:val="24"/>
                <w:szCs w:val="24"/>
              </w:rPr>
            </w:pPr>
            <w:r>
              <w:rPr>
                <w:rFonts w:hint="eastAsia" w:ascii="宋体" w:hAnsi="宋体" w:cs="宋体"/>
                <w:b/>
                <w:bCs/>
                <w:kern w:val="0"/>
                <w:sz w:val="24"/>
                <w:szCs w:val="24"/>
              </w:rPr>
              <w:t>污染</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废水、废气、噪音、固体废弃物等会对周边环境带来污染。</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对环境会带来污染的粉尘、油雾严格执行处理系统净化达标后排放；酸洗、固溶冷却用水系统实行与周边隔离的独立循环系统，实现零排放；废不锈钢固体废弃物采用集中处理分类回收再利用；实现了100%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能源消耗</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水、电、蒸汽、天然气消耗。</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严格杜绝跑、冒、滴漏现象，自觉抵制长明灯、无人灯，做到随用随开、随停随闭，响应国家峰谷用电政策。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资源综合利用</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资源紧缺</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严格加工过程中各种废料、铁屑以及铝屑分类管理，做到废料合金100%回收利用。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安全生产</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火警、火灾事故会对周边居民生活带来影响。</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安全生产以预防为主，从源头抓起，从制度层面到每一个作业环节，杜绝安全隐患源，从领导到员工人人关心安全，抵制不安全行为，杜绝安全事故发生。同时做到突发事件应急预案，实现事故为零。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1082" w:type="dxa"/>
            <w:shd w:val="clear" w:color="auto" w:fill="D7D7D7"/>
            <w:vAlign w:val="center"/>
          </w:tcPr>
          <w:p>
            <w:pPr>
              <w:spacing w:line="360" w:lineRule="auto"/>
              <w:jc w:val="center"/>
              <w:rPr>
                <w:rFonts w:ascii="宋体" w:hAnsi="宋体" w:cs="宋体"/>
                <w:b/>
                <w:bCs/>
                <w:kern w:val="0"/>
                <w:sz w:val="24"/>
                <w:szCs w:val="24"/>
              </w:rPr>
            </w:pPr>
            <w:r>
              <w:rPr>
                <w:rFonts w:hint="eastAsia" w:ascii="宋体" w:hAnsi="宋体" w:cs="宋体"/>
                <w:b/>
                <w:bCs/>
                <w:kern w:val="0"/>
                <w:sz w:val="24"/>
                <w:szCs w:val="24"/>
              </w:rPr>
              <w:t>公共</w:t>
            </w:r>
          </w:p>
          <w:p>
            <w:pPr>
              <w:spacing w:line="360" w:lineRule="auto"/>
              <w:jc w:val="center"/>
              <w:rPr>
                <w:rFonts w:ascii="宋体" w:hAnsi="宋体" w:cs="宋体"/>
                <w:b/>
                <w:bCs/>
                <w:kern w:val="0"/>
                <w:sz w:val="24"/>
                <w:szCs w:val="24"/>
              </w:rPr>
            </w:pPr>
            <w:r>
              <w:rPr>
                <w:rFonts w:hint="eastAsia" w:ascii="宋体" w:hAnsi="宋体" w:cs="宋体"/>
                <w:b/>
                <w:bCs/>
                <w:kern w:val="0"/>
                <w:sz w:val="24"/>
                <w:szCs w:val="24"/>
              </w:rPr>
              <w:t>卫生</w:t>
            </w:r>
          </w:p>
        </w:tc>
        <w:tc>
          <w:tcPr>
            <w:tcW w:w="1621" w:type="dxa"/>
            <w:vAlign w:val="center"/>
          </w:tcPr>
          <w:p>
            <w:pPr>
              <w:spacing w:line="360" w:lineRule="auto"/>
              <w:rPr>
                <w:rFonts w:ascii="宋体" w:hAnsi="宋体" w:cs="宋体"/>
                <w:kern w:val="0"/>
                <w:sz w:val="24"/>
                <w:szCs w:val="24"/>
              </w:rPr>
            </w:pPr>
            <w:r>
              <w:rPr>
                <w:rFonts w:hint="eastAsia" w:ascii="宋体" w:hAnsi="宋体" w:cs="宋体"/>
                <w:kern w:val="0"/>
                <w:sz w:val="24"/>
                <w:szCs w:val="24"/>
              </w:rPr>
              <w:t>生活垃圾、固废等会影响员工健康与环境</w:t>
            </w:r>
          </w:p>
        </w:tc>
        <w:tc>
          <w:tcPr>
            <w:tcW w:w="5757" w:type="dxa"/>
            <w:vAlign w:val="center"/>
          </w:tcPr>
          <w:p>
            <w:pPr>
              <w:spacing w:line="360" w:lineRule="auto"/>
              <w:rPr>
                <w:rFonts w:ascii="宋体" w:hAnsi="宋体" w:cs="宋体"/>
                <w:kern w:val="0"/>
                <w:sz w:val="24"/>
                <w:szCs w:val="24"/>
              </w:rPr>
            </w:pPr>
            <w:r>
              <w:rPr>
                <w:rFonts w:hint="eastAsia" w:ascii="宋体" w:hAnsi="宋体" w:cs="宋体"/>
                <w:kern w:val="0"/>
                <w:sz w:val="24"/>
                <w:szCs w:val="24"/>
              </w:rPr>
              <w:t>推行自查自纠为主，环境卫生无死角，生活垃圾废弃物分类存放，检查做到每天有检查、当天整改有提高，奖惩及时兑现；社会监督为辅，自觉接受社会监督，定期听取周边社区、政府部门意见，不断改进提高。</w:t>
            </w:r>
          </w:p>
        </w:tc>
      </w:tr>
    </w:tbl>
    <w:p>
      <w:pPr>
        <w:spacing w:line="360" w:lineRule="auto"/>
        <w:rPr>
          <w:rFonts w:ascii="宋体" w:hAnsi="宋体" w:cs="宋体"/>
          <w:kern w:val="0"/>
          <w:sz w:val="24"/>
          <w:szCs w:val="24"/>
        </w:rPr>
      </w:pPr>
    </w:p>
    <w:p>
      <w:pPr>
        <w:spacing w:line="360" w:lineRule="auto"/>
        <w:ind w:firstLine="472" w:firstLineChars="196"/>
        <w:rPr>
          <w:rFonts w:ascii="宋体" w:hAnsi="宋体" w:cs="宋体"/>
          <w:b/>
          <w:kern w:val="0"/>
          <w:sz w:val="24"/>
          <w:szCs w:val="24"/>
        </w:rPr>
      </w:pPr>
      <w:r>
        <w:rPr>
          <w:rFonts w:hint="eastAsia" w:ascii="宋体" w:hAnsi="宋体" w:cs="宋体"/>
          <w:b/>
          <w:kern w:val="0"/>
          <w:sz w:val="24"/>
          <w:szCs w:val="24"/>
        </w:rPr>
        <w:t>(3)识别和评估相关风险，在合法合规的基础上持续提升</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高层将法律、法规作为必须条件和最低要求的同时，深刻认识到肩负的社会责任的意义，在识别和评估相关风险的基础上，建立遵循法律法规要求和应对相关风险的关键过程及绩效指标，制定预防、控制程序和改进方案，在持续改进的基础上达到更高水平。</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以节能减排、保护环境为例：在严格执行“环境影响评价”和环保“三同时”制度、严格执行各项环境保护法律法规，落实环保减排、节能降耗的有关政策的同时，主动加快产品结构调整、大力推动高性能不锈钢管产品研发与推广，逐步削减和淘汰落后的传统产能；以职业健康、安全、环境为主线，进一步改善工作环境，提高污染防治和“三废”综合利用设施的配套水平，加大环境污染治理力度，形成环境保护长效工作机制。</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专门成立了相应管理部门，落实职业健康、安全、环境考核奖惩制度，建立各车间能耗定额指标考核体系，大力开展节能、环保培训和宣传教育，瞄准国际一流企业标准，投入专项资金用于环境治理、新产品研发和新工艺改进工作。同时，在产品提档升级，通过稳定质量不断提高产品实物质量水平。</w:t>
      </w:r>
    </w:p>
    <w:p>
      <w:pPr>
        <w:spacing w:line="360" w:lineRule="auto"/>
        <w:ind w:firstLine="472" w:firstLineChars="196"/>
        <w:outlineLvl w:val="1"/>
        <w:rPr>
          <w:rFonts w:ascii="宋体" w:hAnsi="宋体" w:cs="宋体"/>
          <w:b/>
          <w:kern w:val="0"/>
          <w:sz w:val="24"/>
          <w:szCs w:val="24"/>
        </w:rPr>
      </w:pPr>
      <w:bookmarkStart w:id="58" w:name="_Toc522175454"/>
      <w:bookmarkStart w:id="59" w:name="_Toc22483"/>
      <w:r>
        <w:rPr>
          <w:rFonts w:hint="eastAsia" w:ascii="宋体" w:hAnsi="宋体" w:cs="宋体"/>
          <w:b/>
          <w:kern w:val="0"/>
          <w:sz w:val="24"/>
          <w:szCs w:val="24"/>
        </w:rPr>
        <w:t>2、道德行为</w:t>
      </w:r>
      <w:bookmarkEnd w:id="58"/>
      <w:bookmarkEnd w:id="59"/>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企业道德行为是组织在决策、行动以及与利益相关方间交往活动中，遵守道德准则和职业操守的表现。公司在核心价值观基础上制定了清晰明了的道德行为规范，包括公司内部活动和外部活动中应遵循的准则。从高层领导到一般员工都应遵守道德规范，并影响组织的利益相关方。</w:t>
      </w:r>
    </w:p>
    <w:p>
      <w:pPr>
        <w:spacing w:line="360" w:lineRule="auto"/>
        <w:ind w:firstLine="480" w:firstLineChars="200"/>
        <w:rPr>
          <w:rFonts w:ascii="宋体" w:hAnsi="宋体" w:cs="宋体"/>
          <w:kern w:val="0"/>
          <w:sz w:val="24"/>
          <w:szCs w:val="24"/>
        </w:rPr>
      </w:pPr>
      <w:r>
        <w:rPr>
          <w:rFonts w:hint="eastAsia" w:ascii="宋体" w:hAnsi="宋体"/>
          <w:sz w:val="24"/>
          <w:szCs w:val="24"/>
        </w:rPr>
        <w:t>公司高层领导始终将商业决策和运营建立在良好的道德行为之上，率先垂范</w:t>
      </w:r>
      <w:r>
        <w:rPr>
          <w:rFonts w:hint="eastAsia" w:ascii="宋体" w:hAnsi="宋体" w:cs="宋体"/>
          <w:kern w:val="0"/>
          <w:sz w:val="24"/>
          <w:szCs w:val="24"/>
        </w:rPr>
        <w:t>。秉承“敬业、奉献、诚信、守法、创新、务实、共赢”的价值观，在公司内外形成了良好的道德行为规范。公司建立并持续完善企业道德行为检测体系，规范管理、诚信对待顾客，公正对待供应商，形成从高层到基层、产业链由上游到下游一整套的评价体系，规范道德行为。</w:t>
      </w:r>
    </w:p>
    <w:p>
      <w:pPr>
        <w:spacing w:line="360" w:lineRule="auto"/>
        <w:ind w:firstLine="472" w:firstLineChars="196"/>
        <w:rPr>
          <w:rFonts w:ascii="宋体" w:hAnsi="宋体" w:cs="宋体"/>
          <w:b/>
          <w:kern w:val="0"/>
          <w:sz w:val="24"/>
          <w:szCs w:val="24"/>
        </w:rPr>
      </w:pPr>
      <w:r>
        <w:rPr>
          <w:rFonts w:hint="eastAsia" w:ascii="宋体" w:hAnsi="宋体" w:cs="宋体"/>
          <w:b/>
          <w:kern w:val="0"/>
          <w:sz w:val="24"/>
          <w:szCs w:val="24"/>
        </w:rPr>
        <w:t>(1)营造诚信守法经营环境</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诚信作为江苏苏新组织道德行为中的基本准则。高层领导率先垂范，在整个组织中倡导诚信、践行诚信，公司坚持将诚信作为员工行为的准则，融入公司的价值观，制定了有关诚信要求的制度。公司高层领导率先垂范，树立“厚德载物 至诚至善”的企业核心价值观，把诚信作为江苏苏新的立业之本，以深厚的德泽育人利物，赢得相关方信任、尊重和支持。在整个公司中倡导诚信、践行诚信，对违反诚信的行为严厉处理。</w:t>
      </w:r>
      <w:r>
        <w:rPr>
          <w:rFonts w:hint="eastAsia" w:ascii="宋体" w:hAnsi="宋体"/>
          <w:sz w:val="24"/>
          <w:szCs w:val="24"/>
        </w:rPr>
        <w:t>公司，建立面对顾客、供方和社会各相关方的信用体系。公司</w:t>
      </w:r>
      <w:r>
        <w:rPr>
          <w:rFonts w:hint="eastAsia" w:ascii="宋体" w:hAnsi="宋体"/>
          <w:sz w:val="24"/>
        </w:rPr>
        <w:t>根据内外部职能不同，制定了基于内部和外部不同职能的诚信守法经营环境监测系统。</w:t>
      </w:r>
    </w:p>
    <w:p>
      <w:pPr>
        <w:spacing w:line="360" w:lineRule="auto"/>
        <w:ind w:firstLine="480" w:firstLineChars="200"/>
        <w:jc w:val="center"/>
        <w:rPr>
          <w:rFonts w:ascii="宋体" w:hAnsi="宋体"/>
          <w:sz w:val="24"/>
        </w:rPr>
      </w:pPr>
      <w:r>
        <w:rPr>
          <w:rFonts w:hint="eastAsia" w:ascii="宋体" w:hAnsi="宋体"/>
          <w:sz w:val="24"/>
        </w:rPr>
        <w:t>诚信守法监测表</w:t>
      </w:r>
    </w:p>
    <w:tbl>
      <w:tblPr>
        <w:tblStyle w:val="10"/>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EAF1DD"/>
        <w:tblLayout w:type="fixed"/>
        <w:tblCellMar>
          <w:top w:w="0" w:type="dxa"/>
          <w:left w:w="108" w:type="dxa"/>
          <w:bottom w:w="0" w:type="dxa"/>
          <w:right w:w="108" w:type="dxa"/>
        </w:tblCellMar>
      </w:tblPr>
      <w:tblGrid>
        <w:gridCol w:w="1858"/>
        <w:gridCol w:w="1660"/>
        <w:gridCol w:w="2054"/>
        <w:gridCol w:w="1857"/>
        <w:gridCol w:w="1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EAF1DD"/>
          <w:tblCellMar>
            <w:top w:w="0" w:type="dxa"/>
            <w:left w:w="108" w:type="dxa"/>
            <w:bottom w:w="0" w:type="dxa"/>
            <w:right w:w="108" w:type="dxa"/>
          </w:tblCellMar>
        </w:tblPrEx>
        <w:trPr>
          <w:trHeight w:val="482" w:hRule="atLeast"/>
          <w:tblHeader/>
        </w:trPr>
        <w:tc>
          <w:tcPr>
            <w:tcW w:w="1858" w:type="dxa"/>
            <w:tcBorders>
              <w:bottom w:val="single" w:color="000000" w:sz="4" w:space="0"/>
            </w:tcBorders>
            <w:shd w:val="clear" w:color="000000" w:fill="B8CCE4"/>
            <w:vAlign w:val="center"/>
          </w:tcPr>
          <w:p>
            <w:pPr>
              <w:jc w:val="center"/>
              <w:rPr>
                <w:rFonts w:ascii="宋体" w:hAnsi="宋体"/>
                <w:szCs w:val="21"/>
              </w:rPr>
            </w:pPr>
            <w:r>
              <w:rPr>
                <w:rFonts w:hint="eastAsia" w:ascii="宋体" w:hAnsi="宋体"/>
                <w:szCs w:val="21"/>
              </w:rPr>
              <w:t>监测对象</w:t>
            </w:r>
          </w:p>
        </w:tc>
        <w:tc>
          <w:tcPr>
            <w:tcW w:w="1660" w:type="dxa"/>
            <w:tcBorders>
              <w:bottom w:val="single" w:color="000000" w:sz="4" w:space="0"/>
            </w:tcBorders>
            <w:shd w:val="clear" w:color="000000" w:fill="B8CCE4"/>
            <w:vAlign w:val="center"/>
          </w:tcPr>
          <w:p>
            <w:pPr>
              <w:jc w:val="center"/>
              <w:rPr>
                <w:rFonts w:ascii="宋体" w:hAnsi="宋体"/>
                <w:szCs w:val="21"/>
              </w:rPr>
            </w:pPr>
            <w:r>
              <w:rPr>
                <w:rFonts w:hint="eastAsia" w:ascii="宋体" w:hAnsi="宋体"/>
                <w:szCs w:val="21"/>
              </w:rPr>
              <w:t>监测过程</w:t>
            </w:r>
          </w:p>
        </w:tc>
        <w:tc>
          <w:tcPr>
            <w:tcW w:w="2054" w:type="dxa"/>
            <w:tcBorders>
              <w:bottom w:val="single" w:color="000000" w:sz="4" w:space="0"/>
            </w:tcBorders>
            <w:shd w:val="clear" w:color="000000" w:fill="B8CCE4"/>
            <w:vAlign w:val="center"/>
          </w:tcPr>
          <w:p>
            <w:pPr>
              <w:jc w:val="center"/>
              <w:rPr>
                <w:rFonts w:ascii="宋体" w:hAnsi="宋体"/>
                <w:szCs w:val="21"/>
              </w:rPr>
            </w:pPr>
            <w:r>
              <w:rPr>
                <w:rFonts w:hint="eastAsia" w:ascii="宋体" w:hAnsi="宋体"/>
                <w:szCs w:val="21"/>
              </w:rPr>
              <w:t>监测部门</w:t>
            </w:r>
          </w:p>
        </w:tc>
        <w:tc>
          <w:tcPr>
            <w:tcW w:w="1857" w:type="dxa"/>
            <w:tcBorders>
              <w:bottom w:val="single" w:color="000000" w:sz="4" w:space="0"/>
            </w:tcBorders>
            <w:shd w:val="clear" w:color="000000" w:fill="B8CCE4"/>
            <w:vAlign w:val="center"/>
          </w:tcPr>
          <w:p>
            <w:pPr>
              <w:jc w:val="center"/>
              <w:rPr>
                <w:rFonts w:ascii="宋体" w:hAnsi="宋体"/>
                <w:szCs w:val="21"/>
              </w:rPr>
            </w:pPr>
            <w:r>
              <w:rPr>
                <w:rFonts w:hint="eastAsia" w:ascii="宋体" w:hAnsi="宋体"/>
                <w:szCs w:val="21"/>
              </w:rPr>
              <w:t>测评方法</w:t>
            </w:r>
          </w:p>
        </w:tc>
        <w:tc>
          <w:tcPr>
            <w:tcW w:w="1857" w:type="dxa"/>
            <w:tcBorders>
              <w:bottom w:val="single" w:color="000000" w:sz="4" w:space="0"/>
            </w:tcBorders>
            <w:shd w:val="clear" w:color="000000" w:fill="B8CCE4"/>
            <w:vAlign w:val="center"/>
          </w:tcPr>
          <w:p>
            <w:pPr>
              <w:jc w:val="center"/>
              <w:rPr>
                <w:rFonts w:ascii="宋体" w:hAnsi="宋体"/>
                <w:szCs w:val="21"/>
              </w:rPr>
            </w:pPr>
            <w:r>
              <w:rPr>
                <w:rFonts w:hint="eastAsia" w:ascii="宋体" w:hAnsi="宋体"/>
                <w:szCs w:val="21"/>
              </w:rPr>
              <w:t>测评结果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EAF1DD"/>
          <w:tblCellMar>
            <w:top w:w="0" w:type="dxa"/>
            <w:left w:w="108" w:type="dxa"/>
            <w:bottom w:w="0" w:type="dxa"/>
            <w:right w:w="108" w:type="dxa"/>
          </w:tblCellMar>
        </w:tblPrEx>
        <w:trPr>
          <w:trHeight w:val="482" w:hRule="atLeast"/>
        </w:trPr>
        <w:tc>
          <w:tcPr>
            <w:tcW w:w="1858" w:type="dxa"/>
            <w:vMerge w:val="restart"/>
            <w:shd w:val="clear" w:color="000000" w:fill="DAEEF3"/>
            <w:vAlign w:val="center"/>
          </w:tcPr>
          <w:p>
            <w:pPr>
              <w:jc w:val="center"/>
              <w:rPr>
                <w:rFonts w:ascii="宋体" w:hAnsi="宋体"/>
                <w:szCs w:val="21"/>
              </w:rPr>
            </w:pPr>
            <w:r>
              <w:rPr>
                <w:rFonts w:hint="eastAsia" w:ascii="宋体" w:hAnsi="宋体"/>
                <w:szCs w:val="21"/>
              </w:rPr>
              <w:t>员  工</w:t>
            </w:r>
          </w:p>
        </w:tc>
        <w:tc>
          <w:tcPr>
            <w:tcW w:w="1660" w:type="dxa"/>
            <w:vMerge w:val="restart"/>
            <w:shd w:val="clear" w:color="000000" w:fill="DAEEF3"/>
            <w:vAlign w:val="center"/>
          </w:tcPr>
          <w:p>
            <w:pPr>
              <w:rPr>
                <w:rFonts w:ascii="宋体" w:hAnsi="宋体"/>
                <w:szCs w:val="21"/>
              </w:rPr>
            </w:pPr>
            <w:r>
              <w:rPr>
                <w:rFonts w:hint="eastAsia" w:ascii="宋体" w:hAnsi="宋体"/>
                <w:szCs w:val="21"/>
              </w:rPr>
              <w:t>工作行为</w:t>
            </w:r>
          </w:p>
        </w:tc>
        <w:tc>
          <w:tcPr>
            <w:tcW w:w="2054" w:type="dxa"/>
            <w:shd w:val="clear" w:color="000000" w:fill="DAEEF3"/>
            <w:vAlign w:val="center"/>
          </w:tcPr>
          <w:p>
            <w:pPr>
              <w:rPr>
                <w:rFonts w:ascii="宋体" w:hAnsi="宋体"/>
                <w:szCs w:val="21"/>
              </w:rPr>
            </w:pPr>
            <w:r>
              <w:rPr>
                <w:rFonts w:hint="eastAsia" w:ascii="宋体" w:hAnsi="宋体"/>
                <w:szCs w:val="21"/>
              </w:rPr>
              <w:t>人力资源部</w:t>
            </w:r>
          </w:p>
        </w:tc>
        <w:tc>
          <w:tcPr>
            <w:tcW w:w="1857" w:type="dxa"/>
            <w:shd w:val="clear" w:color="000000" w:fill="DAEEF3"/>
            <w:vAlign w:val="center"/>
          </w:tcPr>
          <w:p>
            <w:pPr>
              <w:rPr>
                <w:rFonts w:ascii="宋体" w:hAnsi="宋体"/>
                <w:szCs w:val="21"/>
              </w:rPr>
            </w:pPr>
            <w:r>
              <w:rPr>
                <w:rFonts w:hint="eastAsia" w:ascii="宋体" w:hAnsi="宋体"/>
                <w:szCs w:val="21"/>
              </w:rPr>
              <w:t>效能测评</w:t>
            </w:r>
          </w:p>
        </w:tc>
        <w:tc>
          <w:tcPr>
            <w:tcW w:w="1857" w:type="dxa"/>
            <w:vMerge w:val="restart"/>
            <w:shd w:val="clear" w:color="000000" w:fill="DAEEF3"/>
            <w:vAlign w:val="bottom"/>
          </w:tcPr>
          <w:p>
            <w:pPr>
              <w:rPr>
                <w:rFonts w:ascii="宋体" w:hAnsi="宋体"/>
                <w:szCs w:val="21"/>
              </w:rPr>
            </w:pPr>
            <w:r>
              <w:rPr>
                <w:rFonts w:hint="eastAsia" w:ascii="宋体" w:hAnsi="宋体"/>
                <w:szCs w:val="21"/>
              </w:rPr>
              <w:t>重大经营活动无违规违纪，员工履约率100%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EAF1DD"/>
          <w:tblCellMar>
            <w:top w:w="0" w:type="dxa"/>
            <w:left w:w="108" w:type="dxa"/>
            <w:bottom w:w="0" w:type="dxa"/>
            <w:right w:w="108" w:type="dxa"/>
          </w:tblCellMar>
        </w:tblPrEx>
        <w:trPr>
          <w:trHeight w:val="454" w:hRule="atLeast"/>
        </w:trPr>
        <w:tc>
          <w:tcPr>
            <w:tcW w:w="1858" w:type="dxa"/>
            <w:vMerge w:val="continue"/>
            <w:shd w:val="clear" w:color="000000" w:fill="DAEEF3"/>
            <w:vAlign w:val="center"/>
          </w:tcPr>
          <w:p>
            <w:pPr>
              <w:jc w:val="center"/>
              <w:rPr>
                <w:rFonts w:ascii="宋体" w:hAnsi="宋体"/>
                <w:szCs w:val="21"/>
              </w:rPr>
            </w:pPr>
          </w:p>
        </w:tc>
        <w:tc>
          <w:tcPr>
            <w:tcW w:w="1660" w:type="dxa"/>
            <w:vMerge w:val="continue"/>
            <w:shd w:val="clear" w:color="000000" w:fill="DAEEF3"/>
            <w:vAlign w:val="center"/>
          </w:tcPr>
          <w:p>
            <w:pPr>
              <w:jc w:val="center"/>
              <w:rPr>
                <w:rFonts w:ascii="宋体" w:hAnsi="宋体"/>
                <w:szCs w:val="21"/>
              </w:rPr>
            </w:pPr>
          </w:p>
        </w:tc>
        <w:tc>
          <w:tcPr>
            <w:tcW w:w="2054" w:type="dxa"/>
            <w:shd w:val="clear" w:color="000000" w:fill="DAEEF3"/>
            <w:vAlign w:val="center"/>
          </w:tcPr>
          <w:p>
            <w:pPr>
              <w:jc w:val="center"/>
              <w:rPr>
                <w:rFonts w:ascii="宋体" w:hAnsi="宋体"/>
                <w:szCs w:val="21"/>
              </w:rPr>
            </w:pPr>
            <w:r>
              <w:rPr>
                <w:rFonts w:hint="eastAsia" w:ascii="宋体" w:hAnsi="宋体"/>
                <w:szCs w:val="21"/>
              </w:rPr>
              <w:t>工  会</w:t>
            </w:r>
          </w:p>
        </w:tc>
        <w:tc>
          <w:tcPr>
            <w:tcW w:w="1857" w:type="dxa"/>
            <w:shd w:val="clear" w:color="000000" w:fill="DAEEF3"/>
            <w:vAlign w:val="center"/>
          </w:tcPr>
          <w:p>
            <w:pPr>
              <w:jc w:val="center"/>
              <w:rPr>
                <w:rFonts w:ascii="宋体" w:hAnsi="宋体"/>
                <w:szCs w:val="21"/>
              </w:rPr>
            </w:pPr>
            <w:r>
              <w:rPr>
                <w:rFonts w:hint="eastAsia" w:ascii="宋体" w:hAnsi="宋体"/>
                <w:szCs w:val="21"/>
              </w:rPr>
              <w:t>监督</w:t>
            </w:r>
          </w:p>
        </w:tc>
        <w:tc>
          <w:tcPr>
            <w:tcW w:w="1857" w:type="dxa"/>
            <w:vMerge w:val="continue"/>
            <w:shd w:val="clear" w:color="000000" w:fill="DAEEF3"/>
            <w:vAlign w:val="center"/>
          </w:tcPr>
          <w:p>
            <w:pPr>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EAF1DD"/>
          <w:tblCellMar>
            <w:top w:w="0" w:type="dxa"/>
            <w:left w:w="108" w:type="dxa"/>
            <w:bottom w:w="0" w:type="dxa"/>
            <w:right w:w="108" w:type="dxa"/>
          </w:tblCellMar>
        </w:tblPrEx>
        <w:trPr>
          <w:trHeight w:val="482" w:hRule="atLeast"/>
        </w:trPr>
        <w:tc>
          <w:tcPr>
            <w:tcW w:w="1858" w:type="dxa"/>
            <w:shd w:val="clear" w:color="000000" w:fill="DAEEF3"/>
            <w:vAlign w:val="center"/>
          </w:tcPr>
          <w:p>
            <w:pPr>
              <w:jc w:val="center"/>
              <w:rPr>
                <w:rFonts w:ascii="宋体" w:hAnsi="宋体"/>
                <w:szCs w:val="21"/>
              </w:rPr>
            </w:pPr>
            <w:r>
              <w:rPr>
                <w:rFonts w:hint="eastAsia" w:ascii="宋体" w:hAnsi="宋体"/>
                <w:szCs w:val="21"/>
              </w:rPr>
              <w:t>公司合作伙伴</w:t>
            </w:r>
          </w:p>
        </w:tc>
        <w:tc>
          <w:tcPr>
            <w:tcW w:w="1660" w:type="dxa"/>
            <w:shd w:val="clear" w:color="000000" w:fill="DAEEF3"/>
            <w:vAlign w:val="center"/>
          </w:tcPr>
          <w:p>
            <w:pPr>
              <w:rPr>
                <w:rFonts w:ascii="宋体" w:hAnsi="宋体"/>
                <w:szCs w:val="21"/>
              </w:rPr>
            </w:pPr>
            <w:r>
              <w:rPr>
                <w:rFonts w:hint="eastAsia" w:ascii="宋体" w:hAnsi="宋体"/>
                <w:szCs w:val="21"/>
              </w:rPr>
              <w:t>履行合同情况</w:t>
            </w:r>
          </w:p>
        </w:tc>
        <w:tc>
          <w:tcPr>
            <w:tcW w:w="2054" w:type="dxa"/>
            <w:shd w:val="clear" w:color="000000" w:fill="DAEEF3"/>
            <w:vAlign w:val="center"/>
          </w:tcPr>
          <w:p>
            <w:pPr>
              <w:rPr>
                <w:rFonts w:ascii="宋体" w:hAnsi="宋体"/>
                <w:szCs w:val="21"/>
              </w:rPr>
            </w:pPr>
            <w:r>
              <w:rPr>
                <w:rFonts w:hint="eastAsia" w:ascii="宋体" w:hAnsi="宋体"/>
                <w:szCs w:val="21"/>
              </w:rPr>
              <w:t>生产设备部，供应部</w:t>
            </w:r>
          </w:p>
        </w:tc>
        <w:tc>
          <w:tcPr>
            <w:tcW w:w="1857" w:type="dxa"/>
            <w:shd w:val="clear" w:color="000000" w:fill="DAEEF3"/>
            <w:vAlign w:val="center"/>
          </w:tcPr>
          <w:p>
            <w:pPr>
              <w:jc w:val="center"/>
              <w:rPr>
                <w:rFonts w:ascii="宋体" w:hAnsi="宋体"/>
                <w:szCs w:val="21"/>
              </w:rPr>
            </w:pPr>
            <w:r>
              <w:rPr>
                <w:rFonts w:hint="eastAsia" w:ascii="宋体" w:hAnsi="宋体"/>
                <w:szCs w:val="21"/>
              </w:rPr>
              <w:t>合 同</w:t>
            </w:r>
          </w:p>
        </w:tc>
        <w:tc>
          <w:tcPr>
            <w:tcW w:w="1857" w:type="dxa"/>
            <w:vMerge w:val="restart"/>
            <w:shd w:val="clear" w:color="000000" w:fill="DAEEF3"/>
            <w:vAlign w:val="center"/>
          </w:tcPr>
          <w:p>
            <w:pPr>
              <w:rPr>
                <w:rFonts w:ascii="宋体" w:hAnsi="宋体"/>
                <w:szCs w:val="21"/>
              </w:rPr>
            </w:pPr>
            <w:r>
              <w:rPr>
                <w:rFonts w:hint="eastAsia" w:ascii="宋体" w:hAnsi="宋体"/>
                <w:szCs w:val="21"/>
              </w:rPr>
              <w:t>国家守合同重信用企业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858" w:type="dxa"/>
            <w:shd w:val="clear" w:color="000000" w:fill="DAEEF3"/>
            <w:vAlign w:val="center"/>
          </w:tcPr>
          <w:p>
            <w:pPr>
              <w:jc w:val="center"/>
              <w:rPr>
                <w:rFonts w:ascii="宋体" w:hAnsi="宋体"/>
                <w:szCs w:val="21"/>
              </w:rPr>
            </w:pPr>
            <w:r>
              <w:rPr>
                <w:rFonts w:hint="eastAsia" w:ascii="宋体" w:hAnsi="宋体"/>
                <w:szCs w:val="21"/>
              </w:rPr>
              <w:t>顾  客</w:t>
            </w:r>
          </w:p>
        </w:tc>
        <w:tc>
          <w:tcPr>
            <w:tcW w:w="1660" w:type="dxa"/>
            <w:shd w:val="clear" w:color="000000" w:fill="DAEEF3"/>
            <w:vAlign w:val="center"/>
          </w:tcPr>
          <w:p>
            <w:pPr>
              <w:rPr>
                <w:rFonts w:ascii="宋体" w:hAnsi="宋体"/>
                <w:szCs w:val="21"/>
              </w:rPr>
            </w:pPr>
            <w:r>
              <w:rPr>
                <w:rFonts w:hint="eastAsia" w:ascii="宋体" w:hAnsi="宋体"/>
                <w:szCs w:val="21"/>
              </w:rPr>
              <w:t>履行合同情况</w:t>
            </w:r>
          </w:p>
        </w:tc>
        <w:tc>
          <w:tcPr>
            <w:tcW w:w="2054" w:type="dxa"/>
            <w:shd w:val="clear" w:color="000000" w:fill="DAEEF3"/>
            <w:vAlign w:val="center"/>
          </w:tcPr>
          <w:p>
            <w:pPr>
              <w:rPr>
                <w:rFonts w:ascii="宋体" w:hAnsi="宋体"/>
                <w:szCs w:val="21"/>
              </w:rPr>
            </w:pPr>
            <w:r>
              <w:rPr>
                <w:rFonts w:hint="eastAsia" w:ascii="宋体" w:hAnsi="宋体"/>
                <w:szCs w:val="21"/>
              </w:rPr>
              <w:t>销售部</w:t>
            </w:r>
          </w:p>
        </w:tc>
        <w:tc>
          <w:tcPr>
            <w:tcW w:w="1857" w:type="dxa"/>
            <w:shd w:val="clear" w:color="000000" w:fill="DAEEF3"/>
            <w:vAlign w:val="center"/>
          </w:tcPr>
          <w:p>
            <w:pPr>
              <w:jc w:val="center"/>
              <w:rPr>
                <w:rFonts w:ascii="宋体" w:hAnsi="宋体"/>
                <w:szCs w:val="21"/>
              </w:rPr>
            </w:pPr>
            <w:r>
              <w:rPr>
                <w:rFonts w:hint="eastAsia" w:ascii="宋体" w:hAnsi="宋体"/>
                <w:szCs w:val="21"/>
              </w:rPr>
              <w:t>合 同</w:t>
            </w:r>
          </w:p>
        </w:tc>
        <w:tc>
          <w:tcPr>
            <w:tcW w:w="1857" w:type="dxa"/>
            <w:vMerge w:val="continue"/>
            <w:shd w:val="clear" w:color="000000" w:fill="DAEEF3"/>
            <w:vAlign w:val="center"/>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858" w:type="dxa"/>
            <w:vMerge w:val="restart"/>
            <w:shd w:val="clear" w:color="000000" w:fill="DAEEF3"/>
            <w:vAlign w:val="center"/>
          </w:tcPr>
          <w:p>
            <w:pPr>
              <w:jc w:val="center"/>
              <w:rPr>
                <w:rFonts w:ascii="宋体" w:hAnsi="宋体"/>
                <w:szCs w:val="21"/>
              </w:rPr>
            </w:pPr>
            <w:r>
              <w:rPr>
                <w:rFonts w:hint="eastAsia" w:ascii="宋体" w:hAnsi="宋体"/>
                <w:szCs w:val="21"/>
              </w:rPr>
              <w:t>公司外部</w:t>
            </w:r>
          </w:p>
        </w:tc>
        <w:tc>
          <w:tcPr>
            <w:tcW w:w="1660" w:type="dxa"/>
            <w:vMerge w:val="restart"/>
            <w:shd w:val="clear" w:color="000000" w:fill="DAEEF3"/>
            <w:vAlign w:val="center"/>
          </w:tcPr>
          <w:p>
            <w:pPr>
              <w:rPr>
                <w:rFonts w:ascii="宋体" w:hAnsi="宋体"/>
                <w:szCs w:val="21"/>
              </w:rPr>
            </w:pPr>
            <w:r>
              <w:rPr>
                <w:rFonts w:hint="eastAsia" w:ascii="宋体" w:hAnsi="宋体"/>
                <w:szCs w:val="21"/>
              </w:rPr>
              <w:t>生产经营活动的规范性</w:t>
            </w:r>
          </w:p>
        </w:tc>
        <w:tc>
          <w:tcPr>
            <w:tcW w:w="2054" w:type="dxa"/>
            <w:shd w:val="clear" w:color="000000" w:fill="DAEEF3"/>
            <w:vAlign w:val="center"/>
          </w:tcPr>
          <w:p>
            <w:pPr>
              <w:rPr>
                <w:rFonts w:ascii="宋体" w:hAnsi="宋体"/>
                <w:szCs w:val="21"/>
              </w:rPr>
            </w:pPr>
            <w:r>
              <w:rPr>
                <w:rFonts w:hint="eastAsia" w:ascii="宋体" w:hAnsi="宋体"/>
                <w:szCs w:val="21"/>
              </w:rPr>
              <w:t>税务部门</w:t>
            </w:r>
          </w:p>
        </w:tc>
        <w:tc>
          <w:tcPr>
            <w:tcW w:w="1857" w:type="dxa"/>
            <w:shd w:val="clear" w:color="000000" w:fill="DAEEF3"/>
            <w:vAlign w:val="bottom"/>
          </w:tcPr>
          <w:p>
            <w:pPr>
              <w:rPr>
                <w:rFonts w:ascii="宋体" w:hAnsi="宋体"/>
                <w:szCs w:val="21"/>
              </w:rPr>
            </w:pPr>
            <w:r>
              <w:rPr>
                <w:rFonts w:hint="eastAsia" w:ascii="宋体" w:hAnsi="宋体"/>
                <w:szCs w:val="21"/>
              </w:rPr>
              <w:t>税务检查及评价</w:t>
            </w:r>
          </w:p>
        </w:tc>
        <w:tc>
          <w:tcPr>
            <w:tcW w:w="1857" w:type="dxa"/>
            <w:shd w:val="clear" w:color="000000" w:fill="DAEEF3"/>
            <w:vAlign w:val="center"/>
          </w:tcPr>
          <w:p>
            <w:pPr>
              <w:rPr>
                <w:rFonts w:ascii="宋体" w:hAnsi="宋体"/>
                <w:szCs w:val="21"/>
              </w:rPr>
            </w:pPr>
            <w:r>
              <w:rPr>
                <w:rFonts w:hint="eastAsia" w:ascii="宋体" w:hAnsi="宋体"/>
                <w:szCs w:val="21"/>
              </w:rPr>
              <w:t>纳税A级企业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858" w:type="dxa"/>
            <w:vMerge w:val="continue"/>
            <w:shd w:val="clear" w:color="000000" w:fill="DAEEF3"/>
            <w:vAlign w:val="center"/>
          </w:tcPr>
          <w:p>
            <w:pPr>
              <w:jc w:val="center"/>
              <w:rPr>
                <w:rFonts w:ascii="宋体" w:hAnsi="宋体"/>
                <w:szCs w:val="21"/>
              </w:rPr>
            </w:pPr>
          </w:p>
        </w:tc>
        <w:tc>
          <w:tcPr>
            <w:tcW w:w="1660" w:type="dxa"/>
            <w:vMerge w:val="continue"/>
            <w:shd w:val="clear" w:color="000000" w:fill="DAEEF3"/>
            <w:vAlign w:val="center"/>
          </w:tcPr>
          <w:p>
            <w:pPr>
              <w:jc w:val="center"/>
              <w:rPr>
                <w:rFonts w:ascii="宋体" w:hAnsi="宋体"/>
                <w:szCs w:val="21"/>
              </w:rPr>
            </w:pPr>
          </w:p>
        </w:tc>
        <w:tc>
          <w:tcPr>
            <w:tcW w:w="2054" w:type="dxa"/>
            <w:shd w:val="clear" w:color="000000" w:fill="DAEEF3"/>
            <w:vAlign w:val="center"/>
          </w:tcPr>
          <w:p>
            <w:pPr>
              <w:jc w:val="center"/>
              <w:rPr>
                <w:rFonts w:ascii="宋体" w:hAnsi="宋体"/>
                <w:szCs w:val="21"/>
              </w:rPr>
            </w:pPr>
            <w:r>
              <w:rPr>
                <w:rFonts w:hint="eastAsia" w:ascii="宋体" w:hAnsi="宋体"/>
                <w:szCs w:val="21"/>
              </w:rPr>
              <w:t>银  行</w:t>
            </w:r>
          </w:p>
        </w:tc>
        <w:tc>
          <w:tcPr>
            <w:tcW w:w="1857" w:type="dxa"/>
            <w:shd w:val="clear" w:color="000000" w:fill="DAEEF3"/>
            <w:vAlign w:val="center"/>
          </w:tcPr>
          <w:p>
            <w:pPr>
              <w:jc w:val="center"/>
              <w:rPr>
                <w:rFonts w:ascii="宋体" w:hAnsi="宋体"/>
                <w:szCs w:val="21"/>
              </w:rPr>
            </w:pPr>
            <w:r>
              <w:rPr>
                <w:rFonts w:hint="eastAsia" w:ascii="宋体" w:hAnsi="宋体"/>
                <w:szCs w:val="21"/>
              </w:rPr>
              <w:t>银行信用评价</w:t>
            </w:r>
          </w:p>
        </w:tc>
        <w:tc>
          <w:tcPr>
            <w:tcW w:w="1857" w:type="dxa"/>
            <w:shd w:val="clear" w:color="000000" w:fill="DAEEF3"/>
            <w:vAlign w:val="center"/>
          </w:tcPr>
          <w:p>
            <w:pPr>
              <w:jc w:val="center"/>
              <w:rPr>
                <w:rFonts w:ascii="宋体" w:hAnsi="宋体"/>
                <w:szCs w:val="21"/>
              </w:rPr>
            </w:pPr>
            <w:r>
              <w:rPr>
                <w:rFonts w:hint="eastAsia" w:ascii="宋体" w:hAnsi="宋体"/>
                <w:szCs w:val="21"/>
              </w:rPr>
              <w:t>AAA级评定结果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858" w:type="dxa"/>
            <w:vMerge w:val="continue"/>
            <w:shd w:val="clear" w:color="000000" w:fill="DAEEF3"/>
            <w:vAlign w:val="center"/>
          </w:tcPr>
          <w:p>
            <w:pPr>
              <w:jc w:val="center"/>
              <w:rPr>
                <w:rFonts w:ascii="宋体" w:hAnsi="宋体"/>
                <w:szCs w:val="21"/>
              </w:rPr>
            </w:pPr>
          </w:p>
        </w:tc>
        <w:tc>
          <w:tcPr>
            <w:tcW w:w="1660" w:type="dxa"/>
            <w:vMerge w:val="continue"/>
            <w:shd w:val="clear" w:color="000000" w:fill="DAEEF3"/>
            <w:vAlign w:val="center"/>
          </w:tcPr>
          <w:p>
            <w:pPr>
              <w:jc w:val="center"/>
              <w:rPr>
                <w:rFonts w:ascii="宋体" w:hAnsi="宋体"/>
                <w:szCs w:val="21"/>
              </w:rPr>
            </w:pPr>
          </w:p>
        </w:tc>
        <w:tc>
          <w:tcPr>
            <w:tcW w:w="2054" w:type="dxa"/>
            <w:shd w:val="clear" w:color="000000" w:fill="DAEEF3"/>
            <w:vAlign w:val="center"/>
          </w:tcPr>
          <w:p>
            <w:pPr>
              <w:jc w:val="center"/>
              <w:rPr>
                <w:rFonts w:ascii="宋体" w:hAnsi="宋体"/>
                <w:szCs w:val="21"/>
              </w:rPr>
            </w:pPr>
            <w:r>
              <w:rPr>
                <w:rFonts w:hint="eastAsia" w:ascii="宋体" w:hAnsi="宋体"/>
                <w:szCs w:val="21"/>
              </w:rPr>
              <w:t>审计部门</w:t>
            </w:r>
          </w:p>
        </w:tc>
        <w:tc>
          <w:tcPr>
            <w:tcW w:w="1857" w:type="dxa"/>
            <w:shd w:val="clear" w:color="000000" w:fill="DAEEF3"/>
            <w:vAlign w:val="center"/>
          </w:tcPr>
          <w:p>
            <w:pPr>
              <w:jc w:val="center"/>
              <w:rPr>
                <w:rFonts w:ascii="宋体" w:hAnsi="宋体"/>
                <w:szCs w:val="21"/>
              </w:rPr>
            </w:pPr>
            <w:r>
              <w:rPr>
                <w:rFonts w:hint="eastAsia" w:ascii="宋体" w:hAnsi="宋体"/>
                <w:szCs w:val="21"/>
              </w:rPr>
              <w:t>内外部审计</w:t>
            </w:r>
          </w:p>
        </w:tc>
        <w:tc>
          <w:tcPr>
            <w:tcW w:w="1857" w:type="dxa"/>
            <w:shd w:val="clear" w:color="000000" w:fill="DAEEF3"/>
            <w:vAlign w:val="center"/>
          </w:tcPr>
          <w:p>
            <w:pPr>
              <w:jc w:val="center"/>
              <w:rPr>
                <w:rFonts w:ascii="宋体" w:hAnsi="宋体"/>
                <w:szCs w:val="21"/>
              </w:rPr>
            </w:pPr>
            <w:r>
              <w:rPr>
                <w:rFonts w:hint="eastAsia" w:ascii="宋体" w:hAnsi="宋体"/>
                <w:szCs w:val="21"/>
              </w:rPr>
              <w:t>第三方审计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858" w:type="dxa"/>
            <w:vMerge w:val="continue"/>
            <w:shd w:val="clear" w:color="000000" w:fill="DAEEF3"/>
            <w:vAlign w:val="center"/>
          </w:tcPr>
          <w:p>
            <w:pPr>
              <w:jc w:val="center"/>
              <w:rPr>
                <w:rFonts w:ascii="宋体" w:hAnsi="宋体"/>
                <w:szCs w:val="21"/>
              </w:rPr>
            </w:pPr>
          </w:p>
        </w:tc>
        <w:tc>
          <w:tcPr>
            <w:tcW w:w="1660" w:type="dxa"/>
            <w:vMerge w:val="continue"/>
            <w:shd w:val="clear" w:color="000000" w:fill="DAEEF3"/>
            <w:vAlign w:val="center"/>
          </w:tcPr>
          <w:p>
            <w:pPr>
              <w:jc w:val="center"/>
              <w:rPr>
                <w:rFonts w:ascii="宋体" w:hAnsi="宋体"/>
                <w:szCs w:val="21"/>
              </w:rPr>
            </w:pPr>
          </w:p>
        </w:tc>
        <w:tc>
          <w:tcPr>
            <w:tcW w:w="2054" w:type="dxa"/>
            <w:shd w:val="clear" w:color="000000" w:fill="DAEEF3"/>
            <w:vAlign w:val="center"/>
          </w:tcPr>
          <w:p>
            <w:pPr>
              <w:jc w:val="center"/>
              <w:rPr>
                <w:rFonts w:ascii="宋体" w:hAnsi="宋体"/>
                <w:szCs w:val="21"/>
              </w:rPr>
            </w:pPr>
            <w:r>
              <w:rPr>
                <w:rFonts w:hint="eastAsia" w:ascii="宋体" w:hAnsi="宋体"/>
                <w:szCs w:val="21"/>
              </w:rPr>
              <w:t>质量、安全监督局</w:t>
            </w:r>
          </w:p>
        </w:tc>
        <w:tc>
          <w:tcPr>
            <w:tcW w:w="1857" w:type="dxa"/>
            <w:shd w:val="clear" w:color="000000" w:fill="DAEEF3"/>
            <w:vAlign w:val="center"/>
          </w:tcPr>
          <w:p>
            <w:pPr>
              <w:jc w:val="center"/>
              <w:rPr>
                <w:rFonts w:ascii="宋体" w:hAnsi="宋体"/>
                <w:szCs w:val="21"/>
              </w:rPr>
            </w:pPr>
            <w:r>
              <w:rPr>
                <w:rFonts w:hint="eastAsia" w:ascii="宋体" w:hAnsi="宋体"/>
                <w:szCs w:val="21"/>
              </w:rPr>
              <w:t>诉讼举报、行政主管部门</w:t>
            </w:r>
          </w:p>
        </w:tc>
        <w:tc>
          <w:tcPr>
            <w:tcW w:w="1857" w:type="dxa"/>
            <w:shd w:val="clear" w:color="000000" w:fill="DAEEF3"/>
            <w:vAlign w:val="center"/>
          </w:tcPr>
          <w:p>
            <w:pPr>
              <w:jc w:val="center"/>
              <w:rPr>
                <w:rFonts w:ascii="宋体" w:hAnsi="宋体"/>
                <w:szCs w:val="21"/>
              </w:rPr>
            </w:pPr>
            <w:r>
              <w:rPr>
                <w:rFonts w:hint="eastAsia" w:ascii="宋体" w:hAnsi="宋体"/>
                <w:szCs w:val="21"/>
              </w:rPr>
              <w:t>近三年违法违纪记录为0</w:t>
            </w:r>
          </w:p>
        </w:tc>
      </w:tr>
    </w:tbl>
    <w:p>
      <w:pPr>
        <w:spacing w:line="360" w:lineRule="auto"/>
        <w:ind w:firstLine="482" w:firstLineChars="200"/>
        <w:rPr>
          <w:rFonts w:ascii="宋体" w:hAnsi="宋体" w:cs="宋体"/>
          <w:kern w:val="0"/>
          <w:sz w:val="24"/>
          <w:szCs w:val="24"/>
        </w:rPr>
      </w:pPr>
      <w:r>
        <w:rPr>
          <w:rFonts w:hint="eastAsia" w:ascii="宋体" w:hAnsi="宋体" w:cs="宋体"/>
          <w:b/>
          <w:kern w:val="0"/>
          <w:sz w:val="24"/>
          <w:szCs w:val="24"/>
        </w:rPr>
        <w:t>供应商管理：</w:t>
      </w:r>
      <w:r>
        <w:rPr>
          <w:rFonts w:hint="eastAsia" w:ascii="宋体" w:hAnsi="宋体" w:cs="宋体"/>
          <w:kern w:val="0"/>
          <w:sz w:val="24"/>
          <w:szCs w:val="24"/>
        </w:rPr>
        <w:t>公司在与供应商签订格式条款采购合同时，本着公平公正的原则，充分保障供应商和公司的合理利益。公司建立了严格的供应商评价制度，对新供应商的资质、诚信记录、质量等进行严格的审查。每年对所有供应商的诚信情况进行评估，对出现诚信问题的供应商予以淘汰或处罚。</w:t>
      </w:r>
    </w:p>
    <w:p>
      <w:pPr>
        <w:spacing w:line="360" w:lineRule="auto"/>
        <w:ind w:firstLine="472" w:firstLineChars="196"/>
        <w:rPr>
          <w:rFonts w:ascii="宋体" w:hAnsi="宋体" w:cs="宋体"/>
          <w:kern w:val="0"/>
          <w:sz w:val="24"/>
          <w:szCs w:val="24"/>
        </w:rPr>
      </w:pPr>
      <w:r>
        <w:rPr>
          <w:rFonts w:hint="eastAsia" w:ascii="宋体" w:hAnsi="宋体" w:cs="宋体"/>
          <w:b/>
          <w:kern w:val="0"/>
          <w:sz w:val="24"/>
          <w:szCs w:val="24"/>
        </w:rPr>
        <w:t>客户合同管理：</w:t>
      </w:r>
      <w:r>
        <w:rPr>
          <w:rFonts w:hint="eastAsia" w:ascii="宋体" w:hAnsi="宋体" w:cs="宋体"/>
          <w:kern w:val="0"/>
          <w:sz w:val="24"/>
          <w:szCs w:val="24"/>
        </w:rPr>
        <w:t>公司对客户以诚信、公平、守法为原则，制订并认真执行《采购合同流程》，对涉及的商务、技术等相关条款由相关部门进行相应的技术和商务评审，并由对口分管领导签批，确保公司和客户的利益不受损害。</w:t>
      </w:r>
    </w:p>
    <w:p>
      <w:pPr>
        <w:spacing w:line="360" w:lineRule="auto"/>
        <w:ind w:firstLine="472" w:firstLineChars="196"/>
        <w:rPr>
          <w:rFonts w:ascii="宋体" w:hAnsi="宋体" w:cs="宋体"/>
          <w:b/>
          <w:kern w:val="0"/>
          <w:sz w:val="24"/>
          <w:szCs w:val="24"/>
        </w:rPr>
      </w:pPr>
      <w:r>
        <w:rPr>
          <w:rFonts w:hint="eastAsia" w:ascii="宋体" w:hAnsi="宋体" w:cs="宋体"/>
          <w:b/>
          <w:kern w:val="0"/>
          <w:sz w:val="24"/>
          <w:szCs w:val="24"/>
        </w:rPr>
        <w:t>(2)道德规范的监测</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企业日常运营中的道德行为主要表现为：企业内部对投资方、领导及员工负责；在企业间对供应商及合作伙伴负责；企业外部对客户、政府和社会负责。公司的道德行为融入了公司运营的每个环节，最终凝聚为公司的企业文化。</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倡导诚信经营，在质量安全、节能环保、纳税等方面，严格遵守法律法规、行业标准以及客户要求等道德规范，主动接受员工、投资人、客户、社会各方的监督、监测，经得起时间与各方的考量。</w:t>
      </w:r>
    </w:p>
    <w:p>
      <w:pPr>
        <w:spacing w:line="360" w:lineRule="auto"/>
        <w:ind w:firstLine="472" w:firstLineChars="196"/>
        <w:outlineLvl w:val="1"/>
        <w:rPr>
          <w:rFonts w:ascii="宋体" w:hAnsi="宋体" w:cs="宋体"/>
          <w:b/>
          <w:kern w:val="0"/>
          <w:sz w:val="24"/>
          <w:szCs w:val="24"/>
        </w:rPr>
      </w:pPr>
      <w:bookmarkStart w:id="60" w:name="_Toc8921"/>
      <w:bookmarkStart w:id="61" w:name="_Toc522175455"/>
      <w:r>
        <w:rPr>
          <w:rFonts w:hint="eastAsia" w:ascii="宋体" w:hAnsi="宋体" w:cs="宋体"/>
          <w:b/>
          <w:kern w:val="0"/>
          <w:sz w:val="24"/>
          <w:szCs w:val="24"/>
        </w:rPr>
        <w:t>3、自愿开展公益支持</w:t>
      </w:r>
      <w:bookmarkEnd w:id="60"/>
      <w:bookmarkEnd w:id="61"/>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公益支持是组织超越法规和道德承诺之外的社会责任，是组织在资源条件许可的条件下，提升在社会责任方面的成熟度，是成为卓越企业的表现机会和途径。</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把企业的社会责任当作企业发展的永动机，长期以来注重培养员工的社会责任感，鼓励员工参与公益事业，积极参与社会公益性捐款。公司以积极的态度组织员工参加各类公益性活动，在公众场合展示大金人的良好精神风貌，树立企业的公众形象。从感恩员工延伸到感恩社会，公司积极参与爱心捐赠、各项公益活动等，回报社会，并将公益支持作为公司的战略目标，纳入到日常运营和战略的一部分。</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公司围绕战略目标，根据企业特点，制定了公司的公益支持规划，并把公益支持纳入年度全面预算。</w:t>
      </w:r>
    </w:p>
    <w:p>
      <w:pPr>
        <w:spacing w:beforeLines="50" w:line="360" w:lineRule="exact"/>
        <w:jc w:val="center"/>
        <w:rPr>
          <w:rFonts w:ascii="宋体" w:hAnsi="宋体"/>
          <w:sz w:val="24"/>
          <w:szCs w:val="24"/>
          <w:lang w:val="zh-CN"/>
        </w:rPr>
      </w:pPr>
      <w:bookmarkStart w:id="62" w:name="_Toc333145650"/>
      <w:bookmarkStart w:id="63" w:name="_Toc369071457"/>
      <w:r>
        <w:rPr>
          <w:rFonts w:hint="eastAsia" w:ascii="宋体" w:hAnsi="宋体"/>
          <w:sz w:val="24"/>
          <w:szCs w:val="24"/>
          <w:lang w:val="zh-CN"/>
        </w:rPr>
        <w:t xml:space="preserve">  近年来公司主要公益支持活动</w:t>
      </w:r>
    </w:p>
    <w:tbl>
      <w:tblPr>
        <w:tblStyle w:val="1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3813"/>
        <w:gridCol w:w="3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11" w:type="dxa"/>
            <w:tcBorders>
              <w:bottom w:val="single" w:color="auto" w:sz="4" w:space="0"/>
            </w:tcBorders>
            <w:shd w:val="clear" w:color="auto" w:fill="8DB3E2"/>
            <w:vAlign w:val="center"/>
          </w:tcPr>
          <w:p>
            <w:pPr>
              <w:spacing w:beforeLines="50" w:line="360" w:lineRule="auto"/>
              <w:jc w:val="center"/>
              <w:outlineLvl w:val="0"/>
              <w:rPr>
                <w:rFonts w:ascii="宋体" w:hAnsi="宋体"/>
                <w:b/>
                <w:szCs w:val="21"/>
              </w:rPr>
            </w:pPr>
            <w:bookmarkStart w:id="64" w:name="_Toc20214"/>
            <w:bookmarkStart w:id="65" w:name="_Toc25876"/>
            <w:r>
              <w:rPr>
                <w:rFonts w:hint="eastAsia" w:ascii="宋体" w:hAnsi="宋体"/>
                <w:b/>
                <w:szCs w:val="21"/>
              </w:rPr>
              <w:t>时间</w:t>
            </w:r>
            <w:bookmarkEnd w:id="64"/>
            <w:bookmarkEnd w:id="65"/>
          </w:p>
        </w:tc>
        <w:tc>
          <w:tcPr>
            <w:tcW w:w="3813" w:type="dxa"/>
            <w:tcBorders>
              <w:bottom w:val="single" w:color="auto" w:sz="4" w:space="0"/>
            </w:tcBorders>
            <w:shd w:val="clear" w:color="auto" w:fill="8DB3E2"/>
            <w:vAlign w:val="center"/>
          </w:tcPr>
          <w:p>
            <w:pPr>
              <w:spacing w:beforeLines="50" w:line="360" w:lineRule="auto"/>
              <w:jc w:val="center"/>
              <w:outlineLvl w:val="0"/>
              <w:rPr>
                <w:rFonts w:ascii="宋体" w:hAnsi="宋体"/>
                <w:b/>
                <w:szCs w:val="21"/>
              </w:rPr>
            </w:pPr>
            <w:bookmarkStart w:id="66" w:name="_Toc37"/>
            <w:bookmarkStart w:id="67" w:name="_Toc10349"/>
            <w:r>
              <w:rPr>
                <w:rFonts w:hint="eastAsia" w:ascii="宋体" w:hAnsi="宋体"/>
                <w:b/>
                <w:szCs w:val="21"/>
              </w:rPr>
              <w:t>公益活动</w:t>
            </w:r>
            <w:bookmarkEnd w:id="66"/>
            <w:bookmarkEnd w:id="67"/>
          </w:p>
        </w:tc>
        <w:tc>
          <w:tcPr>
            <w:tcW w:w="3362" w:type="dxa"/>
            <w:tcBorders>
              <w:bottom w:val="single" w:color="auto" w:sz="4" w:space="0"/>
            </w:tcBorders>
            <w:shd w:val="clear" w:color="auto" w:fill="8DB3E2"/>
            <w:vAlign w:val="center"/>
          </w:tcPr>
          <w:p>
            <w:pPr>
              <w:spacing w:beforeLines="50" w:line="360" w:lineRule="auto"/>
              <w:jc w:val="center"/>
              <w:outlineLvl w:val="0"/>
              <w:rPr>
                <w:rFonts w:ascii="宋体" w:hAnsi="宋体"/>
                <w:b/>
                <w:szCs w:val="21"/>
              </w:rPr>
            </w:pPr>
            <w:bookmarkStart w:id="68" w:name="_Toc30456"/>
            <w:bookmarkStart w:id="69" w:name="_Toc9329"/>
            <w:r>
              <w:rPr>
                <w:rFonts w:hint="eastAsia" w:ascii="宋体" w:hAnsi="宋体"/>
                <w:b/>
                <w:szCs w:val="21"/>
              </w:rPr>
              <w:t>支持结果</w:t>
            </w:r>
            <w:bookmarkEnd w:id="68"/>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2015年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光彩基金捐款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2015年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武进慈善捐款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2016年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光彩基金</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2017年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武进慈善捐款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2018年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光彩基金</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捐款7.5万元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2018年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新康天燃气捐款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2019年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武进慈善捐款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2019年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光彩基金</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pPr>
            <w:r>
              <w:rPr>
                <w:rFonts w:hint="eastAsia"/>
              </w:rPr>
              <w:t>捐款11万元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eastAsia="宋体"/>
                <w:lang w:val="en-US" w:eastAsia="zh-CN"/>
              </w:rPr>
            </w:pPr>
            <w:r>
              <w:rPr>
                <w:rFonts w:hint="eastAsia"/>
                <w:lang w:val="en-US" w:eastAsia="zh-CN"/>
              </w:rPr>
              <w:t>2020年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rPr>
            </w:pPr>
            <w:r>
              <w:rPr>
                <w:rFonts w:hint="eastAsia"/>
              </w:rPr>
              <w:t>武进慈善捐款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eastAsia="宋体"/>
                <w:lang w:val="en-US" w:eastAsia="zh-CN"/>
              </w:rPr>
            </w:pPr>
            <w:r>
              <w:rPr>
                <w:rFonts w:hint="eastAsia"/>
                <w:lang w:eastAsia="zh-CN"/>
              </w:rPr>
              <w:t>捐款</w:t>
            </w:r>
            <w:r>
              <w:rPr>
                <w:rFonts w:hint="eastAsia"/>
                <w:lang w:val="en-US" w:eastAsia="zh-CN"/>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lang w:val="en-US" w:eastAsia="zh-CN"/>
              </w:rPr>
            </w:pPr>
            <w:r>
              <w:rPr>
                <w:rFonts w:hint="eastAsia"/>
                <w:lang w:val="en-US" w:eastAsia="zh-CN"/>
              </w:rPr>
              <w:t>2020年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eastAsia="宋体"/>
                <w:lang w:eastAsia="zh-CN"/>
              </w:rPr>
            </w:pPr>
            <w:r>
              <w:rPr>
                <w:rFonts w:hint="eastAsia"/>
                <w:lang w:eastAsia="zh-CN"/>
              </w:rPr>
              <w:t>疫情防疫捐赠</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lang w:val="en-US" w:eastAsia="zh-CN"/>
              </w:rPr>
            </w:pPr>
            <w:r>
              <w:rPr>
                <w:rFonts w:hint="eastAsia"/>
                <w:lang w:eastAsia="zh-CN"/>
              </w:rPr>
              <w:t>捐款</w:t>
            </w:r>
            <w:r>
              <w:rPr>
                <w:rFonts w:hint="eastAsia"/>
                <w:lang w:val="en-US" w:eastAsia="zh-CN"/>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eastAsia="宋体"/>
                <w:lang w:val="en-US" w:eastAsia="zh-CN"/>
              </w:rPr>
            </w:pPr>
            <w:r>
              <w:rPr>
                <w:rFonts w:hint="eastAsia"/>
                <w:lang w:val="en-US" w:eastAsia="zh-CN"/>
              </w:rPr>
              <w:t>2021年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eastAsia="宋体"/>
                <w:lang w:eastAsia="zh-CN"/>
              </w:rPr>
            </w:pPr>
            <w:r>
              <w:rPr>
                <w:rFonts w:hint="eastAsia"/>
                <w:lang w:eastAsia="zh-CN"/>
              </w:rPr>
              <w:t>村企共建</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eastAsia="宋体"/>
                <w:lang w:val="en-US" w:eastAsia="zh-CN"/>
              </w:rPr>
            </w:pPr>
            <w:r>
              <w:rPr>
                <w:rFonts w:hint="eastAsia"/>
                <w:lang w:eastAsia="zh-CN"/>
              </w:rPr>
              <w:t>捐款</w:t>
            </w:r>
            <w:r>
              <w:rPr>
                <w:rFonts w:hint="eastAsia"/>
                <w:lang w:val="en-US" w:eastAsia="zh-CN"/>
              </w:rPr>
              <w:t>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lang w:val="en-US" w:eastAsia="zh-CN"/>
              </w:rPr>
            </w:pPr>
            <w:r>
              <w:rPr>
                <w:rFonts w:hint="eastAsia"/>
                <w:lang w:val="en-US" w:eastAsia="zh-CN"/>
              </w:rPr>
              <w:t>2021年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lang w:eastAsia="zh-CN"/>
              </w:rPr>
            </w:pPr>
            <w:r>
              <w:rPr>
                <w:rFonts w:hint="eastAsia"/>
                <w:lang w:eastAsia="zh-CN"/>
              </w:rPr>
              <w:t>疫情防疫捐赠</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lang w:val="en-US" w:eastAsia="zh-CN"/>
              </w:rPr>
            </w:pPr>
            <w:r>
              <w:rPr>
                <w:rFonts w:hint="eastAsia"/>
                <w:lang w:eastAsia="zh-CN"/>
              </w:rPr>
              <w:t>捐赠</w:t>
            </w:r>
            <w:r>
              <w:rPr>
                <w:rFonts w:hint="eastAsia"/>
                <w:lang w:val="en-US" w:eastAsia="zh-CN"/>
              </w:rPr>
              <w: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1"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default"/>
                <w:lang w:val="en-US" w:eastAsia="zh-CN"/>
              </w:rPr>
            </w:pPr>
            <w:r>
              <w:rPr>
                <w:rFonts w:hint="eastAsia"/>
                <w:lang w:val="en-US" w:eastAsia="zh-CN"/>
              </w:rPr>
              <w:t>2022年</w:t>
            </w:r>
          </w:p>
        </w:tc>
        <w:tc>
          <w:tcPr>
            <w:tcW w:w="3813"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lang w:eastAsia="zh-CN"/>
              </w:rPr>
            </w:pPr>
            <w:r>
              <w:rPr>
                <w:rFonts w:hint="eastAsia"/>
              </w:rPr>
              <w:t>武进慈善捐款</w:t>
            </w:r>
          </w:p>
        </w:tc>
        <w:tc>
          <w:tcPr>
            <w:tcW w:w="3362" w:type="dxa"/>
            <w:tcBorders>
              <w:top w:val="single" w:color="auto" w:sz="4" w:space="0"/>
              <w:left w:val="single" w:color="auto" w:sz="4" w:space="0"/>
              <w:bottom w:val="single" w:color="auto" w:sz="4" w:space="0"/>
              <w:right w:val="single" w:color="auto" w:sz="4" w:space="0"/>
            </w:tcBorders>
            <w:shd w:val="clear" w:color="auto" w:fill="DAEEF3"/>
            <w:vAlign w:val="center"/>
          </w:tcPr>
          <w:p>
            <w:pPr>
              <w:spacing w:line="360" w:lineRule="auto"/>
              <w:jc w:val="center"/>
              <w:rPr>
                <w:rFonts w:hint="eastAsia"/>
                <w:lang w:eastAsia="zh-CN"/>
              </w:rPr>
            </w:pPr>
            <w:r>
              <w:rPr>
                <w:rFonts w:hint="eastAsia"/>
                <w:lang w:eastAsia="zh-CN"/>
              </w:rPr>
              <w:t>捐赠</w:t>
            </w:r>
            <w:r>
              <w:rPr>
                <w:rFonts w:hint="eastAsia"/>
                <w:lang w:val="en-US" w:eastAsia="zh-CN"/>
              </w:rPr>
              <w:t>5万元</w:t>
            </w:r>
            <w:bookmarkStart w:id="70" w:name="_GoBack"/>
            <w:bookmarkEnd w:id="70"/>
          </w:p>
        </w:tc>
      </w:tr>
      <w:bookmarkEnd w:id="62"/>
      <w:bookmarkEnd w:id="63"/>
    </w:tbl>
    <w:p>
      <w:pPr>
        <w:spacing w:line="360" w:lineRule="auto"/>
        <w:rPr>
          <w:rFonts w:ascii="宋体" w:hAnsi="宋体" w:cs="宋体"/>
          <w:color w:val="FF0000"/>
          <w:kern w:val="0"/>
          <w:sz w:val="24"/>
          <w:szCs w:val="24"/>
        </w:rPr>
      </w:pPr>
    </w:p>
    <w:sectPr>
      <w:footerReference r:id="rId3" w:type="default"/>
      <w:pgSz w:w="11906" w:h="16838"/>
      <w:pgMar w:top="1247" w:right="1418" w:bottom="1134" w:left="141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MxNTllYTE4OTA0NGUyZDMyNWI5MTljYzViMzBmMTMifQ=="/>
  </w:docVars>
  <w:rsids>
    <w:rsidRoot w:val="00540070"/>
    <w:rsid w:val="00003554"/>
    <w:rsid w:val="0000511A"/>
    <w:rsid w:val="00044663"/>
    <w:rsid w:val="00080123"/>
    <w:rsid w:val="000871F5"/>
    <w:rsid w:val="000B4F56"/>
    <w:rsid w:val="000D1586"/>
    <w:rsid w:val="000E3CBA"/>
    <w:rsid w:val="000F4FC6"/>
    <w:rsid w:val="0013541A"/>
    <w:rsid w:val="0013641C"/>
    <w:rsid w:val="001565EF"/>
    <w:rsid w:val="001B08D8"/>
    <w:rsid w:val="001C3990"/>
    <w:rsid w:val="001D7106"/>
    <w:rsid w:val="00222C39"/>
    <w:rsid w:val="002314F8"/>
    <w:rsid w:val="00264D0F"/>
    <w:rsid w:val="00274C36"/>
    <w:rsid w:val="00282A0D"/>
    <w:rsid w:val="0029550E"/>
    <w:rsid w:val="002E57B0"/>
    <w:rsid w:val="002E6234"/>
    <w:rsid w:val="003327CE"/>
    <w:rsid w:val="00343950"/>
    <w:rsid w:val="0035009E"/>
    <w:rsid w:val="003B15CA"/>
    <w:rsid w:val="003B22EB"/>
    <w:rsid w:val="00453539"/>
    <w:rsid w:val="00456169"/>
    <w:rsid w:val="0047115A"/>
    <w:rsid w:val="00487D39"/>
    <w:rsid w:val="00493FC3"/>
    <w:rsid w:val="004A0EC5"/>
    <w:rsid w:val="004C1881"/>
    <w:rsid w:val="004E0268"/>
    <w:rsid w:val="004F494B"/>
    <w:rsid w:val="00540070"/>
    <w:rsid w:val="00567FEF"/>
    <w:rsid w:val="00596B7E"/>
    <w:rsid w:val="005B56BD"/>
    <w:rsid w:val="005D3E1B"/>
    <w:rsid w:val="005E0109"/>
    <w:rsid w:val="00635F79"/>
    <w:rsid w:val="00636FBE"/>
    <w:rsid w:val="00677FB7"/>
    <w:rsid w:val="00695D82"/>
    <w:rsid w:val="006A348F"/>
    <w:rsid w:val="006B1EFA"/>
    <w:rsid w:val="006F7B70"/>
    <w:rsid w:val="0070188D"/>
    <w:rsid w:val="00706580"/>
    <w:rsid w:val="00727F36"/>
    <w:rsid w:val="007C5681"/>
    <w:rsid w:val="008312DC"/>
    <w:rsid w:val="00840417"/>
    <w:rsid w:val="00843CBE"/>
    <w:rsid w:val="0084440C"/>
    <w:rsid w:val="00857CFB"/>
    <w:rsid w:val="00861BD9"/>
    <w:rsid w:val="00871FD6"/>
    <w:rsid w:val="0089354F"/>
    <w:rsid w:val="008A171A"/>
    <w:rsid w:val="008B4C4B"/>
    <w:rsid w:val="008F44F1"/>
    <w:rsid w:val="009155E4"/>
    <w:rsid w:val="009A3CC9"/>
    <w:rsid w:val="009F27D6"/>
    <w:rsid w:val="00A017B1"/>
    <w:rsid w:val="00A73425"/>
    <w:rsid w:val="00AB7302"/>
    <w:rsid w:val="00B02EF3"/>
    <w:rsid w:val="00B202B9"/>
    <w:rsid w:val="00B22C9A"/>
    <w:rsid w:val="00B41EF0"/>
    <w:rsid w:val="00B766C6"/>
    <w:rsid w:val="00B81B74"/>
    <w:rsid w:val="00BA4B07"/>
    <w:rsid w:val="00BB7D20"/>
    <w:rsid w:val="00BF2A4B"/>
    <w:rsid w:val="00C1588B"/>
    <w:rsid w:val="00C66149"/>
    <w:rsid w:val="00C71B44"/>
    <w:rsid w:val="00C85676"/>
    <w:rsid w:val="00CC5B03"/>
    <w:rsid w:val="00D06D9B"/>
    <w:rsid w:val="00D150DA"/>
    <w:rsid w:val="00D306A9"/>
    <w:rsid w:val="00D80673"/>
    <w:rsid w:val="00D842ED"/>
    <w:rsid w:val="00DA1972"/>
    <w:rsid w:val="00E23D27"/>
    <w:rsid w:val="00E37C86"/>
    <w:rsid w:val="00E41FD3"/>
    <w:rsid w:val="00E42678"/>
    <w:rsid w:val="00E93CD7"/>
    <w:rsid w:val="00E958D7"/>
    <w:rsid w:val="00EE26E4"/>
    <w:rsid w:val="00F0088C"/>
    <w:rsid w:val="00F22623"/>
    <w:rsid w:val="00F320A9"/>
    <w:rsid w:val="00F344D5"/>
    <w:rsid w:val="00F500B0"/>
    <w:rsid w:val="00F954D4"/>
    <w:rsid w:val="00FA6D08"/>
    <w:rsid w:val="00FC6EA8"/>
    <w:rsid w:val="00FD2A1E"/>
    <w:rsid w:val="064047AA"/>
    <w:rsid w:val="081130C3"/>
    <w:rsid w:val="0C202C93"/>
    <w:rsid w:val="0ED05034"/>
    <w:rsid w:val="1A811175"/>
    <w:rsid w:val="36D466C5"/>
    <w:rsid w:val="418F1B67"/>
    <w:rsid w:val="4CF907DC"/>
    <w:rsid w:val="5C5C32CC"/>
    <w:rsid w:val="63253C81"/>
    <w:rsid w:val="65BE720B"/>
    <w:rsid w:val="7FE15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link w:val="13"/>
    <w:qFormat/>
    <w:uiPriority w:val="0"/>
    <w:pPr>
      <w:keepNext/>
      <w:keepLines/>
      <w:spacing w:before="260" w:after="260" w:line="413" w:lineRule="auto"/>
      <w:outlineLvl w:val="1"/>
    </w:pPr>
    <w:rPr>
      <w:rFonts w:ascii="Arial" w:hAnsi="Arial" w:eastAsia="黑体"/>
      <w:b/>
      <w:sz w:val="32"/>
      <w:szCs w:val="20"/>
    </w:rPr>
  </w:style>
  <w:style w:type="paragraph" w:styleId="3">
    <w:name w:val="heading 3"/>
    <w:basedOn w:val="1"/>
    <w:next w:val="1"/>
    <w:link w:val="15"/>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rPr>
      <w:szCs w:val="20"/>
    </w:rPr>
  </w:style>
  <w:style w:type="paragraph" w:styleId="5">
    <w:name w:val="Balloon Text"/>
    <w:basedOn w:val="1"/>
    <w:link w:val="14"/>
    <w:semiHidden/>
    <w:unhideWhenUsed/>
    <w:qFormat/>
    <w:uiPriority w:val="99"/>
    <w:rPr>
      <w:sz w:val="18"/>
      <w:szCs w:val="18"/>
    </w:rPr>
  </w:style>
  <w:style w:type="paragraph" w:styleId="6">
    <w:name w:val="footer"/>
    <w:basedOn w:val="1"/>
    <w:link w:val="18"/>
    <w:semiHidden/>
    <w:unhideWhenUsed/>
    <w:qFormat/>
    <w:uiPriority w:val="99"/>
    <w:pPr>
      <w:tabs>
        <w:tab w:val="center" w:pos="4153"/>
        <w:tab w:val="right" w:pos="8306"/>
      </w:tabs>
      <w:snapToGrid w:val="0"/>
      <w:jc w:val="left"/>
    </w:pPr>
    <w:rPr>
      <w:sz w:val="18"/>
      <w:szCs w:val="18"/>
    </w:rPr>
  </w:style>
  <w:style w:type="paragraph" w:styleId="7">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uiPriority w:val="39"/>
  </w:style>
  <w:style w:type="paragraph" w:styleId="9">
    <w:name w:val="toc 2"/>
    <w:basedOn w:val="1"/>
    <w:next w:val="1"/>
    <w:qFormat/>
    <w:uiPriority w:val="39"/>
    <w:pPr>
      <w:ind w:left="420" w:leftChars="200"/>
    </w:pPr>
    <w:rPr>
      <w:szCs w:val="20"/>
    </w:rPr>
  </w:style>
  <w:style w:type="character" w:styleId="12">
    <w:name w:val="Hyperlink"/>
    <w:unhideWhenUsed/>
    <w:qFormat/>
    <w:uiPriority w:val="99"/>
    <w:rPr>
      <w:color w:val="0563C1"/>
      <w:u w:val="single"/>
    </w:rPr>
  </w:style>
  <w:style w:type="character" w:customStyle="1" w:styleId="13">
    <w:name w:val="标题 2 Char"/>
    <w:basedOn w:val="11"/>
    <w:link w:val="2"/>
    <w:qFormat/>
    <w:uiPriority w:val="0"/>
    <w:rPr>
      <w:rFonts w:ascii="Arial" w:hAnsi="Arial" w:eastAsia="黑体" w:cs="Times New Roman"/>
      <w:b/>
      <w:sz w:val="32"/>
      <w:szCs w:val="20"/>
    </w:rPr>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标题 3 Char"/>
    <w:basedOn w:val="11"/>
    <w:link w:val="3"/>
    <w:semiHidden/>
    <w:qFormat/>
    <w:uiPriority w:val="9"/>
    <w:rPr>
      <w:rFonts w:ascii="Times New Roman" w:hAnsi="Times New Roman" w:eastAsia="宋体" w:cs="Times New Roman"/>
      <w:b/>
      <w:bCs/>
      <w:sz w:val="32"/>
      <w:szCs w:val="32"/>
    </w:rPr>
  </w:style>
  <w:style w:type="paragraph" w:styleId="16">
    <w:name w:val="List Paragraph"/>
    <w:basedOn w:val="1"/>
    <w:unhideWhenUsed/>
    <w:qFormat/>
    <w:uiPriority w:val="99"/>
    <w:pPr>
      <w:ind w:firstLine="420" w:firstLineChars="200"/>
    </w:pPr>
    <w:rPr>
      <w:szCs w:val="20"/>
    </w:rPr>
  </w:style>
  <w:style w:type="character" w:customStyle="1" w:styleId="17">
    <w:name w:val="页眉 Char"/>
    <w:basedOn w:val="11"/>
    <w:link w:val="7"/>
    <w:semiHidden/>
    <w:qFormat/>
    <w:uiPriority w:val="99"/>
    <w:rPr>
      <w:rFonts w:ascii="Times New Roman" w:hAnsi="Times New Roman" w:eastAsia="宋体" w:cs="Times New Roman"/>
      <w:kern w:val="2"/>
      <w:sz w:val="18"/>
      <w:szCs w:val="18"/>
    </w:rPr>
  </w:style>
  <w:style w:type="character" w:customStyle="1" w:styleId="18">
    <w:name w:val="页脚 Char"/>
    <w:basedOn w:val="11"/>
    <w:link w:val="6"/>
    <w:semiHidden/>
    <w:qFormat/>
    <w:uiPriority w:val="99"/>
    <w:rPr>
      <w:rFonts w:ascii="Times New Roman" w:hAnsi="Times New Roman" w:eastAsia="宋体" w:cs="Times New Roman"/>
      <w:kern w:val="2"/>
      <w:sz w:val="18"/>
      <w:szCs w:val="18"/>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E3583B-8F43-46FE-B54D-5AC1126064E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11823</Words>
  <Characters>12168</Characters>
  <Lines>99</Lines>
  <Paragraphs>27</Paragraphs>
  <TotalTime>0</TotalTime>
  <ScaleCrop>false</ScaleCrop>
  <LinksUpToDate>false</LinksUpToDate>
  <CharactersWithSpaces>12279</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2019-07-06T01:28:00Z</dcterms:created>
  <dc:creator>微软用户</dc:creator>
  <cp:lastModifiedBy>浅玥殇</cp:lastModifiedBy>
  <dcterms:modified xsi:type="dcterms:W3CDTF">2022-09-24T08:23:19Z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50B1473AADA543BF98CA16106FF9D672</vt:lpwstr>
  </property>
</Properties>
</file>